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F388" w14:textId="77777777" w:rsidR="007C5509" w:rsidRDefault="009D35E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Rapporto</w:t>
      </w:r>
      <w:proofErr w:type="spellEnd"/>
      <w:r>
        <w:rPr>
          <w:b/>
          <w:bCs/>
          <w:sz w:val="28"/>
          <w:szCs w:val="28"/>
        </w:rPr>
        <w:t xml:space="preserve"> Cave Sicilia 2021</w:t>
      </w:r>
    </w:p>
    <w:p w14:paraId="022A6D1F" w14:textId="77777777" w:rsidR="007C5509" w:rsidRDefault="007C5509">
      <w:pPr>
        <w:rPr>
          <w:b/>
          <w:bCs/>
          <w:sz w:val="28"/>
          <w:szCs w:val="28"/>
        </w:rPr>
      </w:pPr>
    </w:p>
    <w:p w14:paraId="30A8E108" w14:textId="77777777" w:rsidR="007C5509" w:rsidRDefault="009D35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442 le cave </w:t>
      </w:r>
      <w:proofErr w:type="spellStart"/>
      <w:r>
        <w:rPr>
          <w:sz w:val="24"/>
          <w:szCs w:val="24"/>
        </w:rPr>
        <w:t>autorizzate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operare</w:t>
      </w:r>
      <w:proofErr w:type="spellEnd"/>
      <w:r>
        <w:rPr>
          <w:sz w:val="24"/>
          <w:szCs w:val="24"/>
        </w:rPr>
        <w:t xml:space="preserve"> in Sicilia, </w:t>
      </w:r>
      <w:proofErr w:type="spellStart"/>
      <w:r>
        <w:rPr>
          <w:sz w:val="24"/>
          <w:szCs w:val="24"/>
        </w:rPr>
        <w:t>mentre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245 quelle </w:t>
      </w:r>
      <w:proofErr w:type="spellStart"/>
      <w:r>
        <w:rPr>
          <w:sz w:val="24"/>
          <w:szCs w:val="24"/>
        </w:rPr>
        <w:t>dismesse</w:t>
      </w:r>
      <w:proofErr w:type="spellEnd"/>
      <w:r>
        <w:rPr>
          <w:sz w:val="24"/>
          <w:szCs w:val="24"/>
        </w:rPr>
        <w:t xml:space="preserve">, ossia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l’attività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estrattiva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devono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quindi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completo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ripristino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luoghi</w:t>
      </w:r>
      <w:proofErr w:type="spellEnd"/>
      <w:r>
        <w:rPr>
          <w:sz w:val="24"/>
          <w:szCs w:val="24"/>
        </w:rPr>
        <w:t xml:space="preserve">. La Sicilia </w:t>
      </w:r>
      <w:proofErr w:type="spellStart"/>
      <w:r>
        <w:rPr>
          <w:sz w:val="24"/>
          <w:szCs w:val="24"/>
        </w:rPr>
        <w:t>dunque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pone al </w:t>
      </w:r>
      <w:proofErr w:type="spellStart"/>
      <w:r>
        <w:rPr>
          <w:sz w:val="24"/>
          <w:szCs w:val="24"/>
        </w:rPr>
        <w:t>vertice</w:t>
      </w:r>
      <w:proofErr w:type="spellEnd"/>
      <w:r>
        <w:rPr>
          <w:sz w:val="24"/>
          <w:szCs w:val="24"/>
        </w:rPr>
        <w:t xml:space="preserve"> in Italia per </w:t>
      </w: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estrattivi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seguita</w:t>
      </w:r>
      <w:proofErr w:type="spellEnd"/>
      <w:r>
        <w:rPr>
          <w:sz w:val="24"/>
          <w:szCs w:val="24"/>
        </w:rPr>
        <w:t xml:space="preserve"> da Veneto, Puglia, </w:t>
      </w:r>
      <w:proofErr w:type="spellStart"/>
      <w:r>
        <w:rPr>
          <w:sz w:val="24"/>
          <w:szCs w:val="24"/>
        </w:rPr>
        <w:t>Lombardia</w:t>
      </w:r>
      <w:proofErr w:type="spellEnd"/>
      <w:r>
        <w:rPr>
          <w:sz w:val="24"/>
          <w:szCs w:val="24"/>
        </w:rPr>
        <w:t xml:space="preserve">, Piemonte e </w:t>
      </w:r>
      <w:proofErr w:type="spellStart"/>
      <w:r>
        <w:rPr>
          <w:sz w:val="24"/>
          <w:szCs w:val="24"/>
        </w:rPr>
        <w:t>Sardegna</w:t>
      </w:r>
      <w:proofErr w:type="spellEnd"/>
      <w:r>
        <w:rPr>
          <w:sz w:val="24"/>
          <w:szCs w:val="24"/>
        </w:rPr>
        <w:t>.</w:t>
      </w:r>
    </w:p>
    <w:p w14:paraId="59CDAE2C" w14:textId="77777777" w:rsidR="007C5509" w:rsidRDefault="007C5509">
      <w:pPr>
        <w:rPr>
          <w:sz w:val="24"/>
          <w:szCs w:val="24"/>
        </w:rPr>
      </w:pPr>
    </w:p>
    <w:tbl>
      <w:tblPr>
        <w:tblW w:w="5824" w:type="dxa"/>
        <w:tblLook w:val="0600" w:firstRow="0" w:lastRow="0" w:firstColumn="0" w:lastColumn="0" w:noHBand="1" w:noVBand="1"/>
      </w:tblPr>
      <w:tblGrid>
        <w:gridCol w:w="3074"/>
        <w:gridCol w:w="1060"/>
        <w:gridCol w:w="1690"/>
      </w:tblGrid>
      <w:tr w:rsidR="007C5509" w14:paraId="1FBC178B" w14:textId="77777777">
        <w:tc>
          <w:tcPr>
            <w:tcW w:w="30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9FBCA7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Cave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autorizzate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</w:t>
            </w:r>
          </w:p>
          <w:p w14:paraId="05153760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attive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e non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produttive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FA1626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Cave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dismesse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307318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Piano cava</w:t>
            </w:r>
          </w:p>
        </w:tc>
      </w:tr>
      <w:tr w:rsidR="007C5509" w14:paraId="6449E3EB" w14:textId="77777777">
        <w:tc>
          <w:tcPr>
            <w:tcW w:w="30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DFEF57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ED86CA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245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58D756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SI</w:t>
            </w:r>
          </w:p>
        </w:tc>
      </w:tr>
    </w:tbl>
    <w:p w14:paraId="01B99ADF" w14:textId="77777777" w:rsidR="007C5509" w:rsidRDefault="007C5509">
      <w:pPr>
        <w:suppressAutoHyphens/>
        <w:rPr>
          <w:rFonts w:ascii="Arial" w:eastAsia="Arial" w:hAnsi="Arial" w:cs="Arial"/>
          <w:color w:val="000000"/>
        </w:rPr>
      </w:pPr>
    </w:p>
    <w:p w14:paraId="48771116" w14:textId="77777777" w:rsidR="007C5509" w:rsidRDefault="009D35E3">
      <w:pPr>
        <w:suppressAutoHyphens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31D41DBD" wp14:editId="318599C7">
            <wp:extent cx="4042410" cy="2892425"/>
            <wp:effectExtent l="0" t="0" r="0" b="0"/>
            <wp:docPr id="1" name="Chart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AD75C0D" w14:textId="77777777" w:rsidR="007C5509" w:rsidRDefault="007C5509">
      <w:pPr>
        <w:suppressAutoHyphens/>
        <w:rPr>
          <w:rFonts w:ascii="Arial" w:eastAsia="Arial" w:hAnsi="Arial" w:cs="Arial"/>
          <w:color w:val="000000"/>
        </w:rPr>
      </w:pPr>
    </w:p>
    <w:p w14:paraId="52F32E25" w14:textId="77777777" w:rsidR="007C5509" w:rsidRDefault="009D35E3">
      <w:pPr>
        <w:suppressAutoHyphens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eastAsia="Times New Roman"/>
          <w:color w:val="000000"/>
          <w:sz w:val="24"/>
          <w:szCs w:val="24"/>
        </w:rPr>
        <w:t>canoni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l’estrazione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viene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applicato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senza </w:t>
      </w:r>
      <w:proofErr w:type="spellStart"/>
      <w:r>
        <w:rPr>
          <w:rFonts w:eastAsia="Times New Roman"/>
          <w:color w:val="000000"/>
          <w:sz w:val="24"/>
          <w:szCs w:val="24"/>
        </w:rPr>
        <w:t>distinzione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tutti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materiali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 cava in </w:t>
      </w:r>
      <w:proofErr w:type="spellStart"/>
      <w:r>
        <w:rPr>
          <w:rFonts w:eastAsia="Times New Roman"/>
          <w:color w:val="000000"/>
          <w:sz w:val="24"/>
          <w:szCs w:val="24"/>
        </w:rPr>
        <w:t>fasce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prelievo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:  </w:t>
      </w:r>
      <w:proofErr w:type="gramStart"/>
      <w:r>
        <w:rPr>
          <w:rFonts w:eastAsia="Times New Roman"/>
          <w:color w:val="000000"/>
          <w:sz w:val="24"/>
          <w:szCs w:val="24"/>
        </w:rPr>
        <w:t>1.500 euro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fino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100 m</w:t>
      </w:r>
      <w:r>
        <w:rPr>
          <w:rFonts w:eastAsia="Times New Roman"/>
          <w:color w:val="000000"/>
          <w:sz w:val="24"/>
          <w:szCs w:val="24"/>
          <w:vertAlign w:val="superscript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; 3.500 euro </w:t>
      </w:r>
      <w:proofErr w:type="spellStart"/>
      <w:r>
        <w:rPr>
          <w:rFonts w:eastAsia="Times New Roman"/>
          <w:color w:val="000000"/>
          <w:sz w:val="24"/>
          <w:szCs w:val="24"/>
        </w:rPr>
        <w:t>fra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100 e 500 m</w:t>
      </w:r>
      <w:r>
        <w:rPr>
          <w:rFonts w:eastAsia="Times New Roman"/>
          <w:color w:val="000000"/>
          <w:sz w:val="24"/>
          <w:szCs w:val="24"/>
          <w:vertAlign w:val="superscript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; 6.000 euro </w:t>
      </w:r>
      <w:proofErr w:type="spellStart"/>
      <w:r>
        <w:rPr>
          <w:rFonts w:eastAsia="Times New Roman"/>
          <w:color w:val="000000"/>
          <w:sz w:val="24"/>
          <w:szCs w:val="24"/>
        </w:rPr>
        <w:t>fra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500 e 1,000 m</w:t>
      </w:r>
      <w:r>
        <w:rPr>
          <w:rFonts w:eastAsia="Times New Roman"/>
          <w:color w:val="000000"/>
          <w:sz w:val="24"/>
          <w:szCs w:val="24"/>
          <w:vertAlign w:val="superscript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; 8.000 euro </w:t>
      </w:r>
      <w:proofErr w:type="spellStart"/>
      <w:r>
        <w:rPr>
          <w:rFonts w:eastAsia="Times New Roman"/>
          <w:color w:val="000000"/>
          <w:sz w:val="24"/>
          <w:szCs w:val="24"/>
        </w:rPr>
        <w:t>fra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1.000 e 2.000 m</w:t>
      </w:r>
      <w:r>
        <w:rPr>
          <w:rFonts w:eastAsia="Times New Roman"/>
          <w:color w:val="000000"/>
          <w:sz w:val="24"/>
          <w:szCs w:val="24"/>
          <w:vertAlign w:val="superscript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; 10.000 euro </w:t>
      </w:r>
      <w:proofErr w:type="spellStart"/>
      <w:r>
        <w:rPr>
          <w:rFonts w:eastAsia="Times New Roman"/>
          <w:color w:val="000000"/>
          <w:sz w:val="24"/>
          <w:szCs w:val="24"/>
        </w:rPr>
        <w:t>fra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2.000 e 5.000 m</w:t>
      </w:r>
      <w:r>
        <w:rPr>
          <w:rFonts w:eastAsia="Times New Roman"/>
          <w:color w:val="000000"/>
          <w:sz w:val="24"/>
          <w:szCs w:val="24"/>
          <w:vertAlign w:val="superscript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; 13.000 euro </w:t>
      </w:r>
      <w:proofErr w:type="spellStart"/>
      <w:r>
        <w:rPr>
          <w:rFonts w:eastAsia="Times New Roman"/>
          <w:color w:val="000000"/>
          <w:sz w:val="24"/>
          <w:szCs w:val="24"/>
        </w:rPr>
        <w:t>oltre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5.000 m</w:t>
      </w:r>
      <w:r>
        <w:rPr>
          <w:rFonts w:eastAsia="Times New Roman"/>
          <w:color w:val="000000"/>
          <w:sz w:val="24"/>
          <w:szCs w:val="24"/>
          <w:vertAlign w:val="superscript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</w:p>
    <w:p w14:paraId="563E2FF6" w14:textId="77777777" w:rsidR="007C5509" w:rsidRDefault="009D35E3">
      <w:pPr>
        <w:suppressAutoHyphens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Oltre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questi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canoni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aggiungono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Sicilia, </w:t>
      </w:r>
      <w:proofErr w:type="spellStart"/>
      <w:r>
        <w:rPr>
          <w:rFonts w:eastAsia="Times New Roman"/>
          <w:color w:val="000000"/>
          <w:sz w:val="24"/>
          <w:szCs w:val="24"/>
        </w:rPr>
        <w:t>unico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italiano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insieme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Puglia, </w:t>
      </w:r>
      <w:proofErr w:type="spellStart"/>
      <w:r>
        <w:rPr>
          <w:rFonts w:eastAsia="Times New Roman"/>
          <w:color w:val="000000"/>
          <w:sz w:val="24"/>
          <w:szCs w:val="24"/>
        </w:rPr>
        <w:t>altri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basati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sull’estensione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Si </w:t>
      </w:r>
      <w:proofErr w:type="spellStart"/>
      <w:r>
        <w:rPr>
          <w:color w:val="000000"/>
          <w:sz w:val="24"/>
          <w:szCs w:val="24"/>
        </w:rPr>
        <w:t>va</w:t>
      </w:r>
      <w:proofErr w:type="spellEnd"/>
      <w:r>
        <w:rPr>
          <w:color w:val="000000"/>
          <w:sz w:val="24"/>
          <w:szCs w:val="24"/>
        </w:rPr>
        <w:t xml:space="preserve"> da un </w:t>
      </w:r>
      <w:proofErr w:type="spellStart"/>
      <w:r>
        <w:rPr>
          <w:color w:val="000000"/>
          <w:sz w:val="24"/>
          <w:szCs w:val="24"/>
        </w:rPr>
        <w:t>minimo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gramStart"/>
      <w:r>
        <w:rPr>
          <w:color w:val="000000"/>
          <w:sz w:val="24"/>
          <w:szCs w:val="24"/>
        </w:rPr>
        <w:t>2.000 euro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fino</w:t>
      </w:r>
      <w:proofErr w:type="spellEnd"/>
      <w:r>
        <w:rPr>
          <w:color w:val="000000"/>
          <w:sz w:val="24"/>
          <w:szCs w:val="24"/>
        </w:rPr>
        <w:t xml:space="preserve"> a 5 </w:t>
      </w:r>
      <w:proofErr w:type="spellStart"/>
      <w:r>
        <w:rPr>
          <w:color w:val="000000"/>
          <w:sz w:val="24"/>
          <w:szCs w:val="24"/>
        </w:rPr>
        <w:t>ettari</w:t>
      </w:r>
      <w:proofErr w:type="spellEnd"/>
      <w:r>
        <w:rPr>
          <w:color w:val="000000"/>
          <w:sz w:val="24"/>
          <w:szCs w:val="24"/>
        </w:rPr>
        <w:t xml:space="preserve"> ad un </w:t>
      </w:r>
      <w:proofErr w:type="spellStart"/>
      <w:r>
        <w:rPr>
          <w:color w:val="000000"/>
          <w:sz w:val="24"/>
          <w:szCs w:val="24"/>
        </w:rPr>
        <w:t>massimo</w:t>
      </w:r>
      <w:proofErr w:type="spellEnd"/>
      <w:r>
        <w:rPr>
          <w:color w:val="000000"/>
          <w:sz w:val="24"/>
          <w:szCs w:val="24"/>
        </w:rPr>
        <w:t xml:space="preserve"> di 13.000 euro </w:t>
      </w:r>
      <w:proofErr w:type="spellStart"/>
      <w:r>
        <w:rPr>
          <w:color w:val="000000"/>
          <w:sz w:val="24"/>
          <w:szCs w:val="24"/>
        </w:rPr>
        <w:t>oltre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50 </w:t>
      </w:r>
      <w:proofErr w:type="spellStart"/>
      <w:r>
        <w:rPr>
          <w:color w:val="000000"/>
          <w:sz w:val="24"/>
          <w:szCs w:val="24"/>
        </w:rPr>
        <w:t>ettari</w:t>
      </w:r>
      <w:proofErr w:type="spellEnd"/>
      <w:r>
        <w:rPr>
          <w:color w:val="000000"/>
          <w:sz w:val="24"/>
          <w:szCs w:val="24"/>
        </w:rPr>
        <w:t>.</w:t>
      </w:r>
    </w:p>
    <w:p w14:paraId="2AC2C723" w14:textId="77777777" w:rsidR="007C5509" w:rsidRDefault="009D35E3">
      <w:pPr>
        <w:suppressAutoHyphens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eastAsia="Times New Roman"/>
          <w:color w:val="000000"/>
          <w:sz w:val="24"/>
          <w:szCs w:val="24"/>
        </w:rPr>
        <w:t>canoni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produzione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des</w:t>
      </w:r>
      <w:r>
        <w:rPr>
          <w:rFonts w:eastAsia="Times New Roman"/>
          <w:color w:val="000000"/>
          <w:sz w:val="24"/>
          <w:szCs w:val="24"/>
        </w:rPr>
        <w:t>tinati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il 50% al </w:t>
      </w:r>
      <w:proofErr w:type="spellStart"/>
      <w:r>
        <w:rPr>
          <w:rFonts w:eastAsia="Times New Roman"/>
          <w:color w:val="000000"/>
          <w:sz w:val="24"/>
          <w:szCs w:val="24"/>
        </w:rPr>
        <w:t>Comune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cui </w:t>
      </w:r>
      <w:proofErr w:type="spellStart"/>
      <w:r>
        <w:rPr>
          <w:rFonts w:eastAsia="Times New Roman"/>
          <w:color w:val="000000"/>
          <w:sz w:val="24"/>
          <w:szCs w:val="24"/>
        </w:rPr>
        <w:t>ricade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l’area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cava e per il 50%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versati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entrata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bilancio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regionale</w:t>
      </w:r>
      <w:proofErr w:type="spellEnd"/>
      <w:r>
        <w:rPr>
          <w:rFonts w:eastAsia="Times New Roman"/>
          <w:color w:val="000000"/>
          <w:sz w:val="24"/>
          <w:szCs w:val="24"/>
        </w:rPr>
        <w:t>. </w:t>
      </w:r>
    </w:p>
    <w:p w14:paraId="0D5E4A3B" w14:textId="77777777" w:rsidR="007C5509" w:rsidRDefault="007C5509">
      <w:pPr>
        <w:suppressAutoHyphens/>
        <w:jc w:val="both"/>
        <w:rPr>
          <w:rFonts w:eastAsia="Times New Roman"/>
          <w:color w:val="000000"/>
          <w:sz w:val="24"/>
          <w:szCs w:val="24"/>
        </w:rPr>
      </w:pPr>
    </w:p>
    <w:p w14:paraId="75527BF8" w14:textId="77777777" w:rsidR="007C5509" w:rsidRDefault="009D35E3">
      <w:pPr>
        <w:suppressAutoHyphens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I numeri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delle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attivit</w:t>
      </w:r>
      <w:r>
        <w:rPr>
          <w:b/>
          <w:bCs/>
          <w:sz w:val="24"/>
          <w:szCs w:val="24"/>
        </w:rPr>
        <w:t>à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estrattive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in Sicilia</w:t>
      </w:r>
    </w:p>
    <w:p w14:paraId="786ABE52" w14:textId="77777777" w:rsidR="007C5509" w:rsidRDefault="009D35E3">
      <w:pPr>
        <w:suppressAutoHyphens/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140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Comuni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eastAsia="Times New Roman"/>
          <w:color w:val="000000"/>
          <w:sz w:val="24"/>
          <w:szCs w:val="24"/>
        </w:rPr>
        <w:t>almeno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una cava </w:t>
      </w:r>
      <w:proofErr w:type="spellStart"/>
      <w:r>
        <w:rPr>
          <w:rFonts w:eastAsia="Times New Roman"/>
          <w:color w:val="000000"/>
          <w:sz w:val="24"/>
          <w:szCs w:val="24"/>
        </w:rPr>
        <w:t>autorizzata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proprio </w:t>
      </w:r>
      <w:proofErr w:type="spellStart"/>
      <w:r>
        <w:rPr>
          <w:rFonts w:eastAsia="Times New Roman"/>
          <w:color w:val="000000"/>
          <w:sz w:val="24"/>
          <w:szCs w:val="24"/>
        </w:rPr>
        <w:t>territorio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pari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al 36,1% </w:t>
      </w:r>
      <w:proofErr w:type="spellStart"/>
      <w:r>
        <w:rPr>
          <w:rFonts w:eastAsia="Times New Roman"/>
          <w:color w:val="000000"/>
          <w:sz w:val="24"/>
          <w:szCs w:val="24"/>
        </w:rPr>
        <w:t>de</w:t>
      </w:r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Comuni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siciliani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</w:rPr>
        <w:t>Tra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aree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eastAsia="Times New Roman"/>
          <w:color w:val="000000"/>
          <w:sz w:val="24"/>
          <w:szCs w:val="24"/>
        </w:rPr>
        <w:t>maggiore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presenza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siti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estrattivi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trovano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Custonaci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con 38 cave, Castellammare del </w:t>
      </w:r>
      <w:proofErr w:type="spellStart"/>
      <w:r>
        <w:rPr>
          <w:rFonts w:eastAsia="Times New Roman"/>
          <w:color w:val="000000"/>
          <w:sz w:val="24"/>
          <w:szCs w:val="24"/>
        </w:rPr>
        <w:t>Golfo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Belpasso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entrambi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con 16 </w:t>
      </w:r>
      <w:proofErr w:type="spellStart"/>
      <w:r>
        <w:rPr>
          <w:rFonts w:eastAsia="Times New Roman"/>
          <w:color w:val="000000"/>
          <w:sz w:val="24"/>
          <w:szCs w:val="24"/>
        </w:rPr>
        <w:t>siti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Scicli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con 11 e Caltanissetta con 10.</w:t>
      </w:r>
    </w:p>
    <w:p w14:paraId="321438EA" w14:textId="77777777" w:rsidR="007C5509" w:rsidRDefault="009D35E3">
      <w:pPr>
        <w:suppressAutoHyphens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Sopra quota 100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Comuni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eastAsia="Times New Roman"/>
          <w:color w:val="000000"/>
          <w:sz w:val="24"/>
          <w:szCs w:val="24"/>
        </w:rPr>
        <w:t>almeno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una cava </w:t>
      </w:r>
      <w:proofErr w:type="spellStart"/>
      <w:r>
        <w:rPr>
          <w:rFonts w:eastAsia="Times New Roman"/>
          <w:color w:val="000000"/>
          <w:sz w:val="24"/>
          <w:szCs w:val="24"/>
        </w:rPr>
        <w:t>dis</w:t>
      </w:r>
      <w:r>
        <w:rPr>
          <w:rFonts w:eastAsia="Times New Roman"/>
          <w:color w:val="000000"/>
          <w:sz w:val="24"/>
          <w:szCs w:val="24"/>
        </w:rPr>
        <w:t>messa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proprio </w:t>
      </w:r>
      <w:proofErr w:type="spellStart"/>
      <w:r>
        <w:rPr>
          <w:rFonts w:eastAsia="Times New Roman"/>
          <w:color w:val="000000"/>
          <w:sz w:val="24"/>
          <w:szCs w:val="24"/>
        </w:rPr>
        <w:t>territorio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precisamente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105, ossia il 26,9% del </w:t>
      </w:r>
      <w:proofErr w:type="spellStart"/>
      <w:r>
        <w:rPr>
          <w:rFonts w:eastAsia="Times New Roman"/>
          <w:color w:val="000000"/>
          <w:sz w:val="24"/>
          <w:szCs w:val="24"/>
        </w:rPr>
        <w:t>totale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Comuni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Sicilia.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questo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Custonaci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colloca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eastAsia="Times New Roman"/>
          <w:color w:val="000000"/>
          <w:sz w:val="24"/>
          <w:szCs w:val="24"/>
        </w:rPr>
        <w:t>vertice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con 18 cave </w:t>
      </w:r>
      <w:proofErr w:type="spellStart"/>
      <w:r>
        <w:rPr>
          <w:rFonts w:eastAsia="Times New Roman"/>
          <w:color w:val="000000"/>
          <w:sz w:val="24"/>
          <w:szCs w:val="24"/>
        </w:rPr>
        <w:t>dismesse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seguito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eastAsia="Times New Roman"/>
          <w:color w:val="000000"/>
          <w:sz w:val="24"/>
          <w:szCs w:val="24"/>
        </w:rPr>
        <w:t>Marsale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(13) e </w:t>
      </w:r>
      <w:proofErr w:type="spellStart"/>
      <w:r>
        <w:rPr>
          <w:rFonts w:eastAsia="Times New Roman"/>
          <w:color w:val="000000"/>
          <w:sz w:val="24"/>
          <w:szCs w:val="24"/>
        </w:rPr>
        <w:t>Comiso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(12).</w:t>
      </w:r>
    </w:p>
    <w:p w14:paraId="4CD83CDA" w14:textId="77777777" w:rsidR="007C5509" w:rsidRDefault="007C5509">
      <w:pPr>
        <w:rPr>
          <w:b/>
          <w:bCs/>
          <w:sz w:val="28"/>
          <w:szCs w:val="28"/>
        </w:rPr>
      </w:pPr>
    </w:p>
    <w:p w14:paraId="1EA35ADA" w14:textId="77777777" w:rsidR="007C5509" w:rsidRDefault="009D35E3">
      <w:pPr>
        <w:suppressAutoHyphens/>
        <w:jc w:val="center"/>
      </w:pPr>
      <w:r>
        <w:rPr>
          <w:noProof/>
        </w:rPr>
        <w:lastRenderedPageBreak/>
        <w:drawing>
          <wp:inline distT="89535" distB="89535" distL="89535" distR="89535" wp14:anchorId="6D693105" wp14:editId="778A82D3">
            <wp:extent cx="4521200" cy="3547745"/>
            <wp:effectExtent l="0" t="0" r="0" b="0"/>
            <wp:docPr id="2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GGe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NAbAADTFQAA0BsAANMVAAAAAgAACQAAAAQAAAAAAAAADAAAABAAAAAAAAAAAAAAAAAAAAAAAAAAHgAAAGgAAAAAAAAAAAAAAAAAAAAAAAAAAAAAABAnAAAQJwAAAAAAAAAAAAAAAAAAAAAAAAAAAAAAAAAAAAAAAAAAAAAUAAAAAAAAAMDA/wAAAAAAZAAAADIAAAAAAAAAZAAAAAAAAAB/f38ACgAAACEAAABAAAAAPAAAABAAAAAHogAAAAAAAAAAAAABAAAAAAAAAKAFAAABAAAAAAAAAPYNAADQGwAA0xUAAAEAAACgBQAA9g0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5477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BE126FF" w14:textId="77777777" w:rsidR="007C5509" w:rsidRDefault="007C5509">
      <w:pPr>
        <w:suppressAutoHyphens/>
        <w:jc w:val="center"/>
      </w:pPr>
    </w:p>
    <w:p w14:paraId="07A2019F" w14:textId="77777777" w:rsidR="007C5509" w:rsidRDefault="009D35E3">
      <w:pPr>
        <w:suppressAutoHyphens/>
        <w:jc w:val="center"/>
      </w:pPr>
      <w:r>
        <w:rPr>
          <w:noProof/>
        </w:rPr>
        <w:drawing>
          <wp:inline distT="89535" distB="89535" distL="89535" distR="89535" wp14:anchorId="17C9DC27" wp14:editId="360F959E">
            <wp:extent cx="4470400" cy="3884295"/>
            <wp:effectExtent l="0" t="0" r="0" b="0"/>
            <wp:docPr id="3" name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GGe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AbAADlFwAAgBsAAOUXAAAAAgAACQAAAAQAAAAAAAAADAAAABAAAAAAAAAAAAAAAAAAAAAAAAAAHgAAAGgAAAAAAAAAAAAAAAAAAAAAAAAAAAAAABAnAAAQJwAAAAAAAAAAAAAAAAAAAAAAAAAAAAAAAAAAAAAAAAAAAAAUAAAAAAAAAMDA/wAAAAAAZAAAADIAAAAAAAAAZAAAAAAAAAB/f38ACgAAACEAAABAAAAAPAAAABIAAAAHogAAAAAAAAAAAAAAAAAAAAAAAKAFAAAAAAAAAAAAANYHAACAGwAA5RcAAAEAAACgBQAA1gc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8842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6D24E356" w14:textId="77777777" w:rsidR="007C5509" w:rsidRDefault="007C5509">
      <w:pPr>
        <w:suppressAutoHyphens/>
        <w:jc w:val="center"/>
      </w:pPr>
    </w:p>
    <w:p w14:paraId="3B324B62" w14:textId="77777777" w:rsidR="007C5509" w:rsidRDefault="007C5509">
      <w:pPr>
        <w:suppressAutoHyphens/>
        <w:jc w:val="both"/>
      </w:pPr>
    </w:p>
    <w:p w14:paraId="1382D33C" w14:textId="77777777" w:rsidR="007C5509" w:rsidRDefault="007C5509">
      <w:pPr>
        <w:suppressAutoHyphens/>
        <w:jc w:val="center"/>
      </w:pPr>
    </w:p>
    <w:p w14:paraId="1CEE561A" w14:textId="77777777" w:rsidR="007C5509" w:rsidRDefault="007C5509">
      <w:pPr>
        <w:suppressAutoHyphens/>
        <w:rPr>
          <w:rFonts w:ascii="Montserrat" w:eastAsia="Montserrat" w:hAnsi="Montserrat" w:cs="Montserrat"/>
          <w:b/>
          <w:bCs/>
          <w:sz w:val="22"/>
          <w:szCs w:val="22"/>
        </w:rPr>
      </w:pPr>
    </w:p>
    <w:p w14:paraId="7E69EAD9" w14:textId="77777777" w:rsidR="007C5509" w:rsidRDefault="009D35E3">
      <w:pPr>
        <w:suppressAutoHyphens/>
        <w:rPr>
          <w:rFonts w:ascii="Montserrat" w:eastAsia="Montserrat" w:hAnsi="Montserrat" w:cs="Montserrat"/>
          <w:b/>
          <w:bCs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lastRenderedPageBreak/>
        <w:t>Numero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di cave </w:t>
      </w: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autorizzate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per </w:t>
      </w: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tipologia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di </w:t>
      </w: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materiale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estratto</w:t>
      </w:r>
      <w:proofErr w:type="spellEnd"/>
    </w:p>
    <w:tbl>
      <w:tblPr>
        <w:tblW w:w="3279" w:type="dxa"/>
        <w:tblLook w:val="0600" w:firstRow="0" w:lastRow="0" w:firstColumn="0" w:lastColumn="0" w:noHBand="1" w:noVBand="1"/>
      </w:tblPr>
      <w:tblGrid>
        <w:gridCol w:w="3279"/>
      </w:tblGrid>
      <w:tr w:rsidR="007C5509" w14:paraId="45D88F16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638B01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Sabbia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e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Ghiaia</w:t>
            </w:r>
            <w:proofErr w:type="spellEnd"/>
          </w:p>
        </w:tc>
      </w:tr>
      <w:tr w:rsidR="007C5509" w14:paraId="40D58186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F62426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43</w:t>
            </w:r>
          </w:p>
        </w:tc>
      </w:tr>
      <w:tr w:rsidR="007C5509" w14:paraId="1EF46E61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D6C29A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Pietre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Ornamentali</w:t>
            </w:r>
            <w:proofErr w:type="spellEnd"/>
          </w:p>
        </w:tc>
      </w:tr>
      <w:tr w:rsidR="007C5509" w14:paraId="5884D511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3B5050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81</w:t>
            </w:r>
          </w:p>
        </w:tc>
      </w:tr>
      <w:tr w:rsidR="007C5509" w14:paraId="3888F145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EEDC5E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Calcare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e Gesso</w:t>
            </w:r>
          </w:p>
        </w:tc>
      </w:tr>
      <w:tr w:rsidR="007C5509" w14:paraId="2C966857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9CA5ED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198</w:t>
            </w:r>
          </w:p>
        </w:tc>
      </w:tr>
      <w:tr w:rsidR="007C5509" w14:paraId="6C73AFFC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2D932C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Argilla</w:t>
            </w:r>
            <w:proofErr w:type="spellEnd"/>
          </w:p>
        </w:tc>
      </w:tr>
      <w:tr w:rsidR="007C5509" w14:paraId="24632335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334ECF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27</w:t>
            </w:r>
          </w:p>
        </w:tc>
      </w:tr>
      <w:tr w:rsidR="007C5509" w14:paraId="64E121BF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4A7116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Basalti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tufi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rocce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vulcaniche</w:t>
            </w:r>
            <w:proofErr w:type="spellEnd"/>
          </w:p>
        </w:tc>
      </w:tr>
      <w:tr w:rsidR="007C5509" w14:paraId="2C61680B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D8848A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73</w:t>
            </w:r>
          </w:p>
        </w:tc>
      </w:tr>
    </w:tbl>
    <w:p w14:paraId="2FE13388" w14:textId="77777777" w:rsidR="007C5509" w:rsidRDefault="007C5509">
      <w:pPr>
        <w:jc w:val="center"/>
        <w:rPr>
          <w:b/>
          <w:bCs/>
          <w:sz w:val="28"/>
          <w:szCs w:val="28"/>
        </w:rPr>
      </w:pPr>
    </w:p>
    <w:p w14:paraId="6D82B175" w14:textId="77777777" w:rsidR="007C5509" w:rsidRDefault="009D35E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EB92E3" wp14:editId="7E6EC2B0">
            <wp:extent cx="4192905" cy="2596515"/>
            <wp:effectExtent l="0" t="0" r="0" b="0"/>
            <wp:docPr id="4" name="Chart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DED987" w14:textId="77777777" w:rsidR="007C5509" w:rsidRDefault="007C5509"/>
    <w:p w14:paraId="054BEBFC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eastAsia="Times New Roman"/>
          <w:color w:val="000000"/>
          <w:sz w:val="24"/>
          <w:szCs w:val="24"/>
        </w:rPr>
        <w:t>maggiorparte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cave </w:t>
      </w:r>
      <w:proofErr w:type="spellStart"/>
      <w:r>
        <w:rPr>
          <w:rFonts w:eastAsia="Times New Roman"/>
          <w:color w:val="000000"/>
          <w:sz w:val="24"/>
          <w:szCs w:val="24"/>
        </w:rPr>
        <w:t>autorizzate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Sicilia </w:t>
      </w:r>
      <w:proofErr w:type="spellStart"/>
      <w:r>
        <w:rPr>
          <w:rFonts w:eastAsia="Times New Roman"/>
          <w:color w:val="000000"/>
          <w:sz w:val="24"/>
          <w:szCs w:val="24"/>
        </w:rPr>
        <w:t>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occupa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dell’estrazione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calcare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e gesso</w:t>
      </w:r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materiali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utilizzati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principalmente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produzione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cemento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Si </w:t>
      </w:r>
      <w:proofErr w:type="spellStart"/>
      <w:r>
        <w:rPr>
          <w:rFonts w:eastAsia="Times New Roman"/>
          <w:color w:val="000000"/>
          <w:sz w:val="24"/>
          <w:szCs w:val="24"/>
        </w:rPr>
        <w:t>tratta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198 cave, ossia il 47,1% del </w:t>
      </w:r>
      <w:proofErr w:type="spellStart"/>
      <w:r>
        <w:rPr>
          <w:rFonts w:eastAsia="Times New Roman"/>
          <w:color w:val="000000"/>
          <w:sz w:val="24"/>
          <w:szCs w:val="24"/>
        </w:rPr>
        <w:t>totale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</w:rPr>
        <w:t>Seguono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cave per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pietre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ornamentali</w:t>
      </w:r>
      <w:proofErr w:type="spellEnd"/>
      <w:r>
        <w:rPr>
          <w:rFonts w:eastAsia="Times New Roman"/>
          <w:color w:val="000000"/>
          <w:sz w:val="24"/>
          <w:szCs w:val="24"/>
        </w:rPr>
        <w:t>, 81 in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tutto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ossia il 19,2%, e quelle per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basalti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, lave e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tufi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73 e </w:t>
      </w:r>
      <w:proofErr w:type="spellStart"/>
      <w:r>
        <w:rPr>
          <w:rFonts w:eastAsia="Times New Roman"/>
          <w:color w:val="000000"/>
          <w:sz w:val="24"/>
          <w:szCs w:val="24"/>
        </w:rPr>
        <w:t>rappresentano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17,3% del </w:t>
      </w:r>
      <w:proofErr w:type="spellStart"/>
      <w:r>
        <w:rPr>
          <w:rFonts w:eastAsia="Times New Roman"/>
          <w:color w:val="000000"/>
          <w:sz w:val="24"/>
          <w:szCs w:val="24"/>
        </w:rPr>
        <w:t>totale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4CA8D127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 cave di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sabbia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ghiaia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meno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diffuse qui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resto del </w:t>
      </w:r>
      <w:proofErr w:type="spellStart"/>
      <w:r>
        <w:rPr>
          <w:rFonts w:eastAsia="Times New Roman"/>
          <w:color w:val="000000"/>
          <w:sz w:val="24"/>
          <w:szCs w:val="24"/>
        </w:rPr>
        <w:t>Paese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43 (il 10% del </w:t>
      </w:r>
      <w:proofErr w:type="spellStart"/>
      <w:r>
        <w:rPr>
          <w:rFonts w:eastAsia="Times New Roman"/>
          <w:color w:val="000000"/>
          <w:sz w:val="24"/>
          <w:szCs w:val="24"/>
        </w:rPr>
        <w:t>totale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eastAsia="Times New Roman"/>
          <w:color w:val="000000"/>
          <w:sz w:val="24"/>
          <w:szCs w:val="24"/>
        </w:rPr>
        <w:t>mentre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quelle di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argilla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27 (6,4%).</w:t>
      </w:r>
    </w:p>
    <w:p w14:paraId="036C9E43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eastAsia="Times New Roman"/>
          <w:color w:val="000000"/>
          <w:sz w:val="24"/>
          <w:szCs w:val="24"/>
        </w:rPr>
        <w:t>numero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cave </w:t>
      </w:r>
      <w:proofErr w:type="spellStart"/>
      <w:r>
        <w:rPr>
          <w:rFonts w:eastAsia="Times New Roman"/>
          <w:color w:val="000000"/>
          <w:sz w:val="24"/>
          <w:szCs w:val="24"/>
        </w:rPr>
        <w:t>suddiviso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tipo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materiale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cavato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mostra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nette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differenze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rispetto </w:t>
      </w:r>
      <w:proofErr w:type="spellStart"/>
      <w:r>
        <w:rPr>
          <w:rFonts w:eastAsia="Times New Roman"/>
          <w:color w:val="000000"/>
          <w:sz w:val="24"/>
          <w:szCs w:val="24"/>
        </w:rPr>
        <w:t>alla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situazione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nazionale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dove quelle di </w:t>
      </w:r>
      <w:proofErr w:type="spellStart"/>
      <w:r>
        <w:rPr>
          <w:rFonts w:eastAsia="Times New Roman"/>
          <w:color w:val="000000"/>
          <w:sz w:val="24"/>
          <w:szCs w:val="24"/>
        </w:rPr>
        <w:t>calcare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gesso </w:t>
      </w:r>
      <w:proofErr w:type="spellStart"/>
      <w:r>
        <w:rPr>
          <w:rFonts w:eastAsia="Times New Roman"/>
          <w:color w:val="000000"/>
          <w:sz w:val="24"/>
          <w:szCs w:val="24"/>
        </w:rPr>
        <w:t>rappresentano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32,5%, quelle di </w:t>
      </w:r>
      <w:proofErr w:type="spellStart"/>
      <w:r>
        <w:rPr>
          <w:rFonts w:eastAsia="Times New Roman"/>
          <w:color w:val="000000"/>
          <w:sz w:val="24"/>
          <w:szCs w:val="24"/>
        </w:rPr>
        <w:t>sabbia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ghiaia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31,7% e quelle per le </w:t>
      </w:r>
      <w:proofErr w:type="spellStart"/>
      <w:r>
        <w:rPr>
          <w:rFonts w:eastAsia="Times New Roman"/>
          <w:color w:val="000000"/>
          <w:sz w:val="24"/>
          <w:szCs w:val="24"/>
        </w:rPr>
        <w:t>pietre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ornamentali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24,9%.</w:t>
      </w:r>
    </w:p>
    <w:p w14:paraId="790022B0" w14:textId="77777777" w:rsidR="007C5509" w:rsidRDefault="007C5509">
      <w:pPr>
        <w:jc w:val="both"/>
        <w:rPr>
          <w:rFonts w:eastAsia="Times New Roman"/>
          <w:color w:val="000000"/>
          <w:sz w:val="24"/>
          <w:szCs w:val="24"/>
        </w:rPr>
      </w:pPr>
    </w:p>
    <w:p w14:paraId="153FBC8A" w14:textId="77777777" w:rsidR="007C5509" w:rsidRDefault="009D35E3">
      <w:pPr>
        <w:suppressAutoHyphens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Quantità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ann</w:t>
      </w:r>
      <w:r>
        <w:rPr>
          <w:rFonts w:ascii="Montserrat" w:eastAsia="Montserrat" w:hAnsi="Montserrat" w:cs="Montserrat"/>
          <w:b/>
          <w:bCs/>
          <w:sz w:val="22"/>
          <w:szCs w:val="22"/>
        </w:rPr>
        <w:t>ue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estratte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per </w:t>
      </w: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tipologia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di </w:t>
      </w:r>
      <w:proofErr w:type="spellStart"/>
      <w:r>
        <w:rPr>
          <w:rFonts w:ascii="Montserrat" w:eastAsia="Montserrat" w:hAnsi="Montserrat" w:cs="Montserrat"/>
          <w:b/>
          <w:bCs/>
          <w:sz w:val="22"/>
          <w:szCs w:val="22"/>
        </w:rPr>
        <w:t>materiale</w:t>
      </w:r>
      <w:proofErr w:type="spellEnd"/>
      <w:r>
        <w:rPr>
          <w:rFonts w:ascii="Montserrat" w:eastAsia="Montserrat" w:hAnsi="Montserrat" w:cs="Montserrat"/>
          <w:b/>
          <w:bCs/>
          <w:sz w:val="22"/>
          <w:szCs w:val="22"/>
        </w:rPr>
        <w:t xml:space="preserve"> (</w:t>
      </w:r>
      <w:r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m</w:t>
      </w:r>
      <w:r>
        <w:rPr>
          <w:rFonts w:ascii="Montserrat" w:eastAsia="Montserrat" w:hAnsi="Montserrat" w:cs="Montserrat"/>
          <w:b/>
          <w:bCs/>
          <w:color w:val="000000"/>
          <w:sz w:val="22"/>
          <w:szCs w:val="22"/>
          <w:vertAlign w:val="superscript"/>
        </w:rPr>
        <w:t>3</w:t>
      </w:r>
      <w:r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)</w:t>
      </w:r>
    </w:p>
    <w:tbl>
      <w:tblPr>
        <w:tblW w:w="3388" w:type="dxa"/>
        <w:tblLook w:val="0600" w:firstRow="0" w:lastRow="0" w:firstColumn="0" w:lastColumn="0" w:noHBand="1" w:noVBand="1"/>
      </w:tblPr>
      <w:tblGrid>
        <w:gridCol w:w="3388"/>
      </w:tblGrid>
      <w:tr w:rsidR="007C5509" w14:paraId="6EF66382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30C4B0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Sabbia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e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Ghiaia</w:t>
            </w:r>
            <w:proofErr w:type="spellEnd"/>
          </w:p>
        </w:tc>
      </w:tr>
      <w:tr w:rsidR="007C5509" w14:paraId="2B26FE2D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546EAE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192.000</w:t>
            </w:r>
          </w:p>
        </w:tc>
      </w:tr>
      <w:tr w:rsidR="007C5509" w14:paraId="04450760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F1CCA8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Pietre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Ornamentali</w:t>
            </w:r>
            <w:proofErr w:type="spellEnd"/>
          </w:p>
        </w:tc>
      </w:tr>
      <w:tr w:rsidR="007C5509" w14:paraId="034AC318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38A625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213.500</w:t>
            </w:r>
          </w:p>
        </w:tc>
      </w:tr>
      <w:tr w:rsidR="007C5509" w14:paraId="2098BF57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2B278A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Calcare</w:t>
            </w:r>
            <w:proofErr w:type="spellEnd"/>
          </w:p>
        </w:tc>
      </w:tr>
      <w:tr w:rsidR="007C5509" w14:paraId="25769FA3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F12DCC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2.142.000</w:t>
            </w:r>
          </w:p>
        </w:tc>
      </w:tr>
      <w:tr w:rsidR="007C5509" w14:paraId="1ACF991F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D6F05A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Argilla</w:t>
            </w:r>
            <w:proofErr w:type="spellEnd"/>
          </w:p>
        </w:tc>
      </w:tr>
      <w:tr w:rsidR="007C5509" w14:paraId="7A85E852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31E75F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181.000</w:t>
            </w:r>
          </w:p>
        </w:tc>
      </w:tr>
      <w:tr w:rsidR="007C5509" w14:paraId="5C52E70E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2E968F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Basalto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Tufo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Rocce</w:t>
            </w:r>
            <w:proofErr w:type="spellEnd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bCs/>
                <w:color w:val="000000"/>
              </w:rPr>
              <w:t>vulcaniche</w:t>
            </w:r>
            <w:proofErr w:type="spellEnd"/>
          </w:p>
        </w:tc>
      </w:tr>
      <w:tr w:rsidR="007C5509" w14:paraId="34B081CD" w14:textId="77777777">
        <w:tc>
          <w:tcPr>
            <w:tcW w:w="3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76EEB5" w14:textId="77777777" w:rsidR="007C5509" w:rsidRDefault="009D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675.000</w:t>
            </w:r>
          </w:p>
        </w:tc>
      </w:tr>
    </w:tbl>
    <w:p w14:paraId="72706C9D" w14:textId="77777777" w:rsidR="007C5509" w:rsidRDefault="007C5509"/>
    <w:p w14:paraId="5E03A663" w14:textId="77777777" w:rsidR="007C5509" w:rsidRDefault="009D35E3">
      <w:r>
        <w:rPr>
          <w:noProof/>
        </w:rPr>
        <w:drawing>
          <wp:inline distT="0" distB="0" distL="0" distR="0" wp14:anchorId="7A2FCAED" wp14:editId="1688E302">
            <wp:extent cx="4574540" cy="2548890"/>
            <wp:effectExtent l="0" t="0" r="0" b="0"/>
            <wp:docPr id="5" name="Chart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131EC6" w14:textId="77777777" w:rsidR="007C5509" w:rsidRDefault="007C5509"/>
    <w:p w14:paraId="7190609A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L’analisi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sulle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quantità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estratte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conferma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prevalenza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calcare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e gesso</w:t>
      </w:r>
      <w:r>
        <w:rPr>
          <w:rFonts w:eastAsia="Times New Roman"/>
          <w:color w:val="000000"/>
          <w:sz w:val="24"/>
          <w:szCs w:val="24"/>
        </w:rPr>
        <w:t xml:space="preserve">, con </w:t>
      </w:r>
      <w:proofErr w:type="spellStart"/>
      <w:r>
        <w:rPr>
          <w:rFonts w:eastAsia="Times New Roman"/>
          <w:color w:val="000000"/>
          <w:sz w:val="24"/>
          <w:szCs w:val="24"/>
        </w:rPr>
        <w:t>oltre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2,1 </w:t>
      </w:r>
      <w:proofErr w:type="spellStart"/>
      <w:r>
        <w:rPr>
          <w:rFonts w:eastAsia="Times New Roman"/>
          <w:color w:val="000000"/>
          <w:sz w:val="24"/>
          <w:szCs w:val="24"/>
        </w:rPr>
        <w:t>milioni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cubi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ed il 63% del </w:t>
      </w:r>
      <w:proofErr w:type="spellStart"/>
      <w:r>
        <w:rPr>
          <w:rFonts w:eastAsia="Times New Roman"/>
          <w:color w:val="000000"/>
          <w:sz w:val="24"/>
          <w:szCs w:val="24"/>
        </w:rPr>
        <w:t>totale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materiali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cavati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</w:rPr>
        <w:t>Seguono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rocce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vulcaniche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basalti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lave e </w:t>
      </w:r>
      <w:proofErr w:type="spellStart"/>
      <w:r>
        <w:rPr>
          <w:rFonts w:eastAsia="Times New Roman"/>
          <w:color w:val="000000"/>
          <w:sz w:val="24"/>
          <w:szCs w:val="24"/>
        </w:rPr>
        <w:t>tufi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per 675mila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cubi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ed il 20% del </w:t>
      </w:r>
      <w:proofErr w:type="spellStart"/>
      <w:r>
        <w:rPr>
          <w:rFonts w:eastAsia="Times New Roman"/>
          <w:color w:val="000000"/>
          <w:sz w:val="24"/>
          <w:szCs w:val="24"/>
        </w:rPr>
        <w:t>totale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4AD6E982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 </w:t>
      </w:r>
      <w:proofErr w:type="spellStart"/>
      <w:r>
        <w:rPr>
          <w:rFonts w:eastAsia="Times New Roman"/>
          <w:color w:val="000000"/>
          <w:sz w:val="24"/>
          <w:szCs w:val="24"/>
        </w:rPr>
        <w:t>altre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tipologie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rappresentate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eastAsia="Times New Roman"/>
          <w:color w:val="000000"/>
          <w:sz w:val="24"/>
          <w:szCs w:val="24"/>
        </w:rPr>
        <w:t>pietre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ornamentali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sabbia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ghiaia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 xml:space="preserve">con il 6% </w:t>
      </w:r>
      <w:proofErr w:type="spellStart"/>
      <w:r>
        <w:rPr>
          <w:rFonts w:eastAsia="Times New Roman"/>
          <w:color w:val="000000"/>
          <w:sz w:val="24"/>
          <w:szCs w:val="24"/>
        </w:rPr>
        <w:t>ciascuna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e </w:t>
      </w:r>
      <w:proofErr w:type="spellStart"/>
      <w:r>
        <w:rPr>
          <w:rFonts w:eastAsia="Times New Roman"/>
          <w:color w:val="000000"/>
          <w:sz w:val="24"/>
          <w:szCs w:val="24"/>
        </w:rPr>
        <w:t>dall’argilla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(5%). </w:t>
      </w:r>
    </w:p>
    <w:p w14:paraId="31C8F9EB" w14:textId="77777777" w:rsidR="007C5509" w:rsidRDefault="007C5509">
      <w:pPr>
        <w:rPr>
          <w:color w:val="FF0000"/>
        </w:rPr>
      </w:pPr>
    </w:p>
    <w:p w14:paraId="0628701C" w14:textId="77777777" w:rsidR="007C5509" w:rsidRDefault="007C5509"/>
    <w:p w14:paraId="58619D70" w14:textId="77777777" w:rsidR="007C5509" w:rsidRDefault="007C5509"/>
    <w:p w14:paraId="33E1C587" w14:textId="77777777" w:rsidR="007C5509" w:rsidRDefault="007C5509">
      <w:pPr>
        <w:jc w:val="center"/>
      </w:pPr>
    </w:p>
    <w:p w14:paraId="77639ED6" w14:textId="77777777" w:rsidR="007C5509" w:rsidRDefault="007C5509">
      <w:pPr>
        <w:jc w:val="center"/>
      </w:pPr>
    </w:p>
    <w:p w14:paraId="43D16CEE" w14:textId="77777777" w:rsidR="007C5509" w:rsidRDefault="007C5509">
      <w:pPr>
        <w:jc w:val="center"/>
      </w:pPr>
    </w:p>
    <w:p w14:paraId="544CC399" w14:textId="77777777" w:rsidR="007C5509" w:rsidRDefault="007C5509">
      <w:pPr>
        <w:jc w:val="center"/>
      </w:pPr>
    </w:p>
    <w:p w14:paraId="1FF895F5" w14:textId="77777777" w:rsidR="007C5509" w:rsidRDefault="007C5509">
      <w:pPr>
        <w:jc w:val="center"/>
      </w:pPr>
    </w:p>
    <w:p w14:paraId="1E9D9586" w14:textId="77777777" w:rsidR="007C5509" w:rsidRDefault="007C5509">
      <w:pPr>
        <w:jc w:val="center"/>
      </w:pPr>
    </w:p>
    <w:p w14:paraId="1E7DEE07" w14:textId="77777777" w:rsidR="007C5509" w:rsidRDefault="007C5509">
      <w:pPr>
        <w:jc w:val="center"/>
      </w:pPr>
    </w:p>
    <w:p w14:paraId="60214CCC" w14:textId="77777777" w:rsidR="007C5509" w:rsidRDefault="007C5509">
      <w:pPr>
        <w:jc w:val="center"/>
      </w:pPr>
    </w:p>
    <w:p w14:paraId="788C082C" w14:textId="77777777" w:rsidR="007C5509" w:rsidRDefault="007C5509">
      <w:pPr>
        <w:jc w:val="center"/>
      </w:pPr>
    </w:p>
    <w:p w14:paraId="2F226690" w14:textId="77777777" w:rsidR="007C5509" w:rsidRDefault="007C5509">
      <w:pPr>
        <w:jc w:val="center"/>
      </w:pPr>
    </w:p>
    <w:p w14:paraId="55C56F6A" w14:textId="77777777" w:rsidR="007C5509" w:rsidRDefault="007C5509">
      <w:pPr>
        <w:jc w:val="center"/>
      </w:pPr>
    </w:p>
    <w:p w14:paraId="12500BD4" w14:textId="77777777" w:rsidR="007C5509" w:rsidRDefault="007C5509">
      <w:pPr>
        <w:jc w:val="center"/>
      </w:pPr>
    </w:p>
    <w:p w14:paraId="23E28116" w14:textId="77777777" w:rsidR="007C5509" w:rsidRDefault="007C5509">
      <w:pPr>
        <w:jc w:val="center"/>
      </w:pPr>
    </w:p>
    <w:p w14:paraId="437EDDE4" w14:textId="77777777" w:rsidR="007C5509" w:rsidRDefault="007C5509">
      <w:pPr>
        <w:jc w:val="center"/>
      </w:pPr>
    </w:p>
    <w:p w14:paraId="751356CE" w14:textId="77777777" w:rsidR="007C5509" w:rsidRDefault="007C5509">
      <w:pPr>
        <w:jc w:val="center"/>
      </w:pPr>
    </w:p>
    <w:p w14:paraId="01F61B05" w14:textId="77777777" w:rsidR="007C5509" w:rsidRDefault="007C5509">
      <w:pPr>
        <w:jc w:val="center"/>
      </w:pPr>
    </w:p>
    <w:p w14:paraId="59773DCC" w14:textId="77777777" w:rsidR="007C5509" w:rsidRDefault="007C5509">
      <w:pPr>
        <w:jc w:val="center"/>
      </w:pPr>
    </w:p>
    <w:p w14:paraId="4E8A90AE" w14:textId="77777777" w:rsidR="007C5509" w:rsidRDefault="007C5509">
      <w:pPr>
        <w:jc w:val="center"/>
      </w:pPr>
    </w:p>
    <w:p w14:paraId="34DD3E53" w14:textId="77777777" w:rsidR="007C5509" w:rsidRDefault="007C5509">
      <w:pPr>
        <w:jc w:val="center"/>
      </w:pPr>
    </w:p>
    <w:p w14:paraId="26ACCB33" w14:textId="77777777" w:rsidR="007C5509" w:rsidRDefault="007C5509">
      <w:pPr>
        <w:jc w:val="center"/>
      </w:pPr>
    </w:p>
    <w:p w14:paraId="4DFC1D39" w14:textId="77777777" w:rsidR="007C5509" w:rsidRDefault="007C5509">
      <w:pPr>
        <w:jc w:val="center"/>
      </w:pPr>
    </w:p>
    <w:p w14:paraId="5BF9E84D" w14:textId="77777777" w:rsidR="007C5509" w:rsidRDefault="007C5509">
      <w:pPr>
        <w:jc w:val="center"/>
      </w:pPr>
    </w:p>
    <w:p w14:paraId="1D51AE96" w14:textId="77777777" w:rsidR="007C5509" w:rsidRDefault="007C5509">
      <w:pPr>
        <w:jc w:val="center"/>
      </w:pPr>
    </w:p>
    <w:p w14:paraId="61A37773" w14:textId="77777777" w:rsidR="007C5509" w:rsidRDefault="007C5509">
      <w:pPr>
        <w:jc w:val="center"/>
      </w:pPr>
    </w:p>
    <w:p w14:paraId="572A5124" w14:textId="77777777" w:rsidR="007C5509" w:rsidRDefault="007C5509">
      <w:pPr>
        <w:jc w:val="center"/>
      </w:pPr>
    </w:p>
    <w:p w14:paraId="0D77AE2B" w14:textId="77777777" w:rsidR="007C5509" w:rsidRDefault="007C5509">
      <w:pPr>
        <w:jc w:val="center"/>
      </w:pPr>
    </w:p>
    <w:p w14:paraId="4361642A" w14:textId="77777777" w:rsidR="007C5509" w:rsidRDefault="009D35E3">
      <w:pPr>
        <w:jc w:val="center"/>
      </w:pPr>
      <w:r>
        <w:rPr>
          <w:noProof/>
        </w:rPr>
        <w:lastRenderedPageBreak/>
        <w:drawing>
          <wp:inline distT="89535" distB="89535" distL="89535" distR="89535" wp14:anchorId="1C796F6A" wp14:editId="79B3E502">
            <wp:extent cx="4889500" cy="3942715"/>
            <wp:effectExtent l="0" t="0" r="0" b="0"/>
            <wp:docPr id="6" name="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6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GGe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BQeAABBGAAAFB4AAEEYAAAAAgAACQAAAAQAAAAAAAAADAAAABAAAAAAAAAAAAAAAAAAAAAAAAAAHgAAAGgAAAAAAAAAAAAAAAAAAAAAAAAAAAAAABAnAAAQJwAAAAAAAAAAAAAAAAAAAAAAAAAAAAAAAAAAAAAAAAAAAAAUAAAAAAAAAMDA/wAAAAAAZAAAADIAAAAAAAAAZAAAAAAAAAB/f38ACgAAACEAAABAAAAAPAAAAEQAAAAHogAAAAAAAAAAAAAAAAAAAAAAANwFAAAAAAAAAAAAAG4FAAAUHgAAQRgAAAQAAADcBQAAbgU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9427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A4C701C" w14:textId="77777777" w:rsidR="007C5509" w:rsidRDefault="009D35E3">
      <w:pPr>
        <w:jc w:val="center"/>
      </w:pPr>
      <w:r>
        <w:rPr>
          <w:noProof/>
        </w:rPr>
        <w:drawing>
          <wp:inline distT="89535" distB="89535" distL="89535" distR="89535" wp14:anchorId="05658414" wp14:editId="22889A9B">
            <wp:extent cx="4800600" cy="4159885"/>
            <wp:effectExtent l="0" t="0" r="0" b="0"/>
            <wp:docPr id="7" name="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5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GGe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gdAACXGQAAiB0AAJcZAAAAAgAACQAAAAQAAAAAAAAADAAAABAAAAAAAAAAAAAAAAAAAAAAAAAAHgAAAGgAAAAAAAAAAAAAAAAAAAAAAAAAAAAAABAnAAAQJwAAAAAAAAAAAAAAAAAAAAAAAAAAAAAAAAAAAAAAAAAAAAAUAAAAAAAAAMDA/wAAAAAAZAAAADIAAAAAAAAAZAAAAAAAAAB/f38ACgAAACEAAABAAAAAPAAAAEUAAAAHogAAAAAAAAAAAAAAAAAAAAAAAKAFAAAAAAAAAAAAAPoUAACIHQAAlxkAAAMAAACgBQAA+hQ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598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1759546" w14:textId="77777777" w:rsidR="007C5509" w:rsidRDefault="009D35E3">
      <w:pPr>
        <w:jc w:val="center"/>
      </w:pPr>
      <w:r>
        <w:rPr>
          <w:noProof/>
        </w:rPr>
        <w:lastRenderedPageBreak/>
        <w:drawing>
          <wp:inline distT="89535" distB="89535" distL="89535" distR="89535" wp14:anchorId="6D9FEDA5" wp14:editId="2B6CBBC5">
            <wp:extent cx="4783455" cy="4161155"/>
            <wp:effectExtent l="0" t="0" r="0" b="0"/>
            <wp:docPr id="8" name="Pic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7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GGe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0dAACZGQAAbR0AAJkZAAAAAgAACQAAAAQAAAAAAAAADAAAABAAAAAAAAAAAAAAAAAAAAAAAAAAHgAAAGgAAAAAAAAAAAAAAAAAAAAAAAAAAAAAABAnAAAQJwAAAAAAAAAAAAAAAAAAAAAAAAAAAAAAAAAAAAAAAAAAAAAUAAAAAAAAAMDA/wAAAAAAZAAAADIAAAAAAAAAZAAAAAAAAAB/f38ACgAAACEAAABAAAAAPAAAAEYAAAAHogAAAAAAAAAAAAAAAAAAAAAAAKAFAAAAAAAAAAAAAIgVAABtHQAAmRkAAAQAAACgBQAAiBU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41611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6EC73A1" w14:textId="77777777" w:rsidR="007C5509" w:rsidRDefault="009D35E3">
      <w:pPr>
        <w:jc w:val="center"/>
      </w:pPr>
      <w:r>
        <w:rPr>
          <w:noProof/>
        </w:rPr>
        <w:drawing>
          <wp:inline distT="89535" distB="89535" distL="89535" distR="89535" wp14:anchorId="056C2C8B" wp14:editId="21F577E9">
            <wp:extent cx="4991100" cy="4020185"/>
            <wp:effectExtent l="0" t="0" r="0" b="0"/>
            <wp:docPr id="9" name="Pictur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GGeYBMAAAAlAAAAEQAAAA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QeAAC7GAAAtB4AALsYAAAAAgAACQAAAAQAAAAAAAAADAAAABAAAAAAAAAAAAAAAAAAAAAAAAAAHgAAAGgAAAAAAAAAAAAAAAAAAAAAAAAAAAAAABAnAAAQJwAAAAAAAAAAAAAAAAAAAAAAAAAAAAAAAAAAAAAAAAAAAAAUAAAAAAAAAMDA/wAAAAAAZAAAADIAAAAAAAAAZAAAAAAAAAB/f38ACgAAACEAAABAAAAAPAAAAEcAAAAHogAAAAAAAAAAAAAAAAAAAAAAALsGAAAAAAAAAAAAAF8IAAC0HgAAuxgAAAMAAAC7BgAAXwgAACgAAAAIAAAAAQAAAAEAAAA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0201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81C88C2" w14:textId="77777777" w:rsidR="007C5509" w:rsidRDefault="009D3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La </w:t>
      </w:r>
      <w:proofErr w:type="spellStart"/>
      <w:r>
        <w:rPr>
          <w:b/>
          <w:bCs/>
          <w:sz w:val="24"/>
          <w:szCs w:val="24"/>
        </w:rPr>
        <w:t>normativa</w:t>
      </w:r>
      <w:proofErr w:type="spellEnd"/>
      <w:r>
        <w:rPr>
          <w:b/>
          <w:bCs/>
          <w:sz w:val="24"/>
          <w:szCs w:val="24"/>
        </w:rPr>
        <w:t xml:space="preserve"> e le </w:t>
      </w:r>
      <w:proofErr w:type="spellStart"/>
      <w:r>
        <w:rPr>
          <w:b/>
          <w:bCs/>
          <w:sz w:val="24"/>
          <w:szCs w:val="24"/>
        </w:rPr>
        <w:t>sanzioni</w:t>
      </w:r>
      <w:proofErr w:type="spellEnd"/>
    </w:p>
    <w:p w14:paraId="39B746D4" w14:textId="77777777" w:rsidR="007C5509" w:rsidRDefault="009D35E3">
      <w:pPr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numerose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norme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regionali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susseguite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negli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anni e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hanno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stabilito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regole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settore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seppur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parzialmente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Per </w:t>
      </w:r>
      <w:proofErr w:type="spellStart"/>
      <w:r>
        <w:rPr>
          <w:rFonts w:eastAsia="Times New Roman"/>
          <w:color w:val="000000"/>
          <w:sz w:val="24"/>
          <w:szCs w:val="24"/>
        </w:rPr>
        <w:t>quanto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riguarda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Piano Cave, </w:t>
      </w:r>
      <w:proofErr w:type="spellStart"/>
      <w:r>
        <w:rPr>
          <w:rFonts w:eastAsia="Times New Roman"/>
          <w:color w:val="000000"/>
          <w:sz w:val="24"/>
          <w:szCs w:val="24"/>
        </w:rPr>
        <w:t>dalla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prima </w:t>
      </w:r>
      <w:proofErr w:type="spellStart"/>
      <w:r>
        <w:rPr>
          <w:rFonts w:eastAsia="Times New Roman"/>
          <w:color w:val="000000"/>
          <w:sz w:val="24"/>
          <w:szCs w:val="24"/>
        </w:rPr>
        <w:t>legge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la 127/1980,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già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eastAsia="Times New Roman"/>
          <w:color w:val="000000"/>
          <w:sz w:val="24"/>
          <w:szCs w:val="24"/>
        </w:rPr>
        <w:t>prevedeva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/>
          <w:color w:val="000000"/>
          <w:sz w:val="24"/>
          <w:szCs w:val="24"/>
        </w:rPr>
        <w:t>redazione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passati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36 anni </w:t>
      </w:r>
      <w:r>
        <w:rPr>
          <w:rFonts w:eastAsia="Times New Roman"/>
          <w:color w:val="000000"/>
          <w:sz w:val="24"/>
          <w:szCs w:val="24"/>
        </w:rPr>
        <w:t xml:space="preserve">prima di </w:t>
      </w:r>
      <w:proofErr w:type="spellStart"/>
      <w:r>
        <w:rPr>
          <w:rFonts w:eastAsia="Times New Roman"/>
          <w:color w:val="000000"/>
          <w:sz w:val="24"/>
          <w:szCs w:val="24"/>
        </w:rPr>
        <w:t>vedere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/>
          <w:color w:val="000000"/>
          <w:sz w:val="24"/>
          <w:szCs w:val="24"/>
        </w:rPr>
        <w:t>sua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approvazione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2016. </w:t>
      </w:r>
      <w:proofErr w:type="spellStart"/>
      <w:r>
        <w:rPr>
          <w:rFonts w:eastAsia="Times New Roman"/>
          <w:sz w:val="24"/>
          <w:szCs w:val="24"/>
        </w:rPr>
        <w:t>L’ultima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legge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regionale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intervenuta</w:t>
      </w:r>
      <w:proofErr w:type="spellEnd"/>
      <w:r>
        <w:rPr>
          <w:rFonts w:eastAsia="Times New Roman"/>
          <w:sz w:val="24"/>
          <w:szCs w:val="24"/>
        </w:rPr>
        <w:t xml:space="preserve">, e </w:t>
      </w:r>
      <w:proofErr w:type="spellStart"/>
      <w:r>
        <w:rPr>
          <w:rFonts w:eastAsia="Times New Roman"/>
          <w:sz w:val="24"/>
          <w:szCs w:val="24"/>
        </w:rPr>
        <w:t>che</w:t>
      </w:r>
      <w:proofErr w:type="spellEnd"/>
      <w:r>
        <w:rPr>
          <w:rFonts w:eastAsia="Times New Roman"/>
          <w:sz w:val="24"/>
          <w:szCs w:val="24"/>
        </w:rPr>
        <w:t xml:space="preserve"> ha </w:t>
      </w:r>
      <w:proofErr w:type="spellStart"/>
      <w:r>
        <w:rPr>
          <w:rFonts w:eastAsia="Times New Roman"/>
          <w:sz w:val="24"/>
          <w:szCs w:val="24"/>
        </w:rPr>
        <w:t>affrontato</w:t>
      </w:r>
      <w:proofErr w:type="spellEnd"/>
      <w:r>
        <w:rPr>
          <w:rFonts w:eastAsia="Times New Roman"/>
          <w:sz w:val="24"/>
          <w:szCs w:val="24"/>
        </w:rPr>
        <w:t xml:space="preserve"> il </w:t>
      </w:r>
      <w:proofErr w:type="spellStart"/>
      <w:r>
        <w:rPr>
          <w:rFonts w:eastAsia="Times New Roman"/>
          <w:sz w:val="24"/>
          <w:szCs w:val="24"/>
        </w:rPr>
        <w:t>tema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canoni</w:t>
      </w:r>
      <w:proofErr w:type="spellEnd"/>
      <w:r>
        <w:rPr>
          <w:rFonts w:eastAsia="Times New Roman"/>
          <w:sz w:val="24"/>
          <w:szCs w:val="24"/>
        </w:rPr>
        <w:t xml:space="preserve"> di </w:t>
      </w:r>
      <w:proofErr w:type="spellStart"/>
      <w:r>
        <w:rPr>
          <w:rFonts w:eastAsia="Times New Roman"/>
          <w:sz w:val="24"/>
          <w:szCs w:val="24"/>
        </w:rPr>
        <w:t>estrazione</w:t>
      </w:r>
      <w:proofErr w:type="spellEnd"/>
      <w:r>
        <w:rPr>
          <w:rFonts w:eastAsia="Times New Roman"/>
          <w:sz w:val="24"/>
          <w:szCs w:val="24"/>
        </w:rPr>
        <w:t xml:space="preserve"> in Sicilia, </w:t>
      </w:r>
      <w:r>
        <w:rPr>
          <w:rFonts w:eastAsia="Times New Roman"/>
          <w:color w:val="000000"/>
          <w:sz w:val="24"/>
          <w:szCs w:val="24"/>
        </w:rPr>
        <w:t>è</w:t>
      </w:r>
      <w:r>
        <w:rPr>
          <w:rFonts w:eastAsia="Times New Roman"/>
          <w:sz w:val="24"/>
          <w:szCs w:val="24"/>
        </w:rPr>
        <w:t xml:space="preserve"> la </w:t>
      </w:r>
      <w:proofErr w:type="spellStart"/>
      <w:r>
        <w:rPr>
          <w:rFonts w:eastAsia="Times New Roman"/>
          <w:sz w:val="24"/>
          <w:szCs w:val="24"/>
        </w:rPr>
        <w:t>l.r</w:t>
      </w:r>
      <w:proofErr w:type="spellEnd"/>
      <w:r>
        <w:rPr>
          <w:rFonts w:eastAsia="Times New Roman"/>
          <w:sz w:val="24"/>
          <w:szCs w:val="24"/>
        </w:rPr>
        <w:t>. 9/2015.</w:t>
      </w:r>
    </w:p>
    <w:p w14:paraId="47251060" w14:textId="77777777" w:rsidR="007C5509" w:rsidRDefault="009D35E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La Sicilia fa </w:t>
      </w:r>
      <w:proofErr w:type="spellStart"/>
      <w:r>
        <w:rPr>
          <w:rFonts w:eastAsia="Times New Roman"/>
          <w:sz w:val="24"/>
          <w:szCs w:val="24"/>
        </w:rPr>
        <w:t>parte</w:t>
      </w:r>
      <w:proofErr w:type="spellEnd"/>
      <w:r>
        <w:rPr>
          <w:rFonts w:eastAsia="Times New Roman"/>
          <w:sz w:val="24"/>
          <w:szCs w:val="24"/>
        </w:rPr>
        <w:t xml:space="preserve"> di quelle </w:t>
      </w:r>
      <w:proofErr w:type="spellStart"/>
      <w:r>
        <w:rPr>
          <w:rFonts w:eastAsia="Times New Roman"/>
          <w:sz w:val="24"/>
          <w:szCs w:val="24"/>
        </w:rPr>
        <w:t>Regioni</w:t>
      </w:r>
      <w:proofErr w:type="spellEnd"/>
      <w:r>
        <w:rPr>
          <w:rFonts w:eastAsia="Times New Roman"/>
          <w:sz w:val="24"/>
          <w:szCs w:val="24"/>
        </w:rPr>
        <w:t xml:space="preserve"> dove non è </w:t>
      </w:r>
      <w:proofErr w:type="spellStart"/>
      <w:r>
        <w:rPr>
          <w:rFonts w:eastAsia="Times New Roman"/>
          <w:sz w:val="24"/>
          <w:szCs w:val="24"/>
        </w:rPr>
        <w:t>previsto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nessun</w:t>
      </w:r>
      <w:proofErr w:type="spellEnd"/>
      <w:r>
        <w:rPr>
          <w:rFonts w:eastAsia="Times New Roman"/>
          <w:sz w:val="24"/>
          <w:szCs w:val="24"/>
        </w:rPr>
        <w:t xml:space="preserve"> piano di </w:t>
      </w:r>
      <w:proofErr w:type="spellStart"/>
      <w:r>
        <w:rPr>
          <w:rFonts w:eastAsia="Times New Roman"/>
          <w:sz w:val="24"/>
          <w:szCs w:val="24"/>
        </w:rPr>
        <w:t>recupero</w:t>
      </w:r>
      <w:proofErr w:type="spellEnd"/>
      <w:r>
        <w:rPr>
          <w:rFonts w:eastAsia="Times New Roman"/>
          <w:sz w:val="24"/>
          <w:szCs w:val="24"/>
        </w:rPr>
        <w:t xml:space="preserve"> per le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aree</w:t>
      </w:r>
      <w:proofErr w:type="spellEnd"/>
      <w:r>
        <w:rPr>
          <w:rFonts w:eastAsia="Times New Roman"/>
          <w:sz w:val="24"/>
          <w:szCs w:val="24"/>
        </w:rPr>
        <w:t xml:space="preserve"> di cave </w:t>
      </w:r>
      <w:proofErr w:type="spellStart"/>
      <w:r>
        <w:rPr>
          <w:rFonts w:eastAsia="Times New Roman"/>
          <w:sz w:val="24"/>
          <w:szCs w:val="24"/>
        </w:rPr>
        <w:t>abbandonate</w:t>
      </w:r>
      <w:proofErr w:type="spellEnd"/>
      <w:r>
        <w:rPr>
          <w:rFonts w:eastAsia="Times New Roman"/>
          <w:sz w:val="24"/>
          <w:szCs w:val="24"/>
        </w:rPr>
        <w:t xml:space="preserve">, ossia di </w:t>
      </w:r>
      <w:proofErr w:type="spellStart"/>
      <w:r>
        <w:rPr>
          <w:rFonts w:eastAsia="Times New Roman"/>
          <w:sz w:val="24"/>
          <w:szCs w:val="24"/>
        </w:rPr>
        <w:t>quei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hanno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chiuso</w:t>
      </w:r>
      <w:proofErr w:type="spellEnd"/>
      <w:r>
        <w:rPr>
          <w:rFonts w:eastAsia="Times New Roman"/>
          <w:sz w:val="24"/>
          <w:szCs w:val="24"/>
        </w:rPr>
        <w:t xml:space="preserve"> le </w:t>
      </w:r>
      <w:proofErr w:type="spellStart"/>
      <w:r>
        <w:rPr>
          <w:rFonts w:eastAsia="Times New Roman"/>
          <w:sz w:val="24"/>
          <w:szCs w:val="24"/>
        </w:rPr>
        <w:t>attività</w:t>
      </w:r>
      <w:proofErr w:type="spellEnd"/>
      <w:r>
        <w:rPr>
          <w:rFonts w:eastAsia="Times New Roman"/>
          <w:sz w:val="24"/>
          <w:szCs w:val="24"/>
        </w:rPr>
        <w:t xml:space="preserve"> prima </w:t>
      </w:r>
      <w:proofErr w:type="spellStart"/>
      <w:r>
        <w:rPr>
          <w:rFonts w:eastAsia="Times New Roman"/>
          <w:sz w:val="24"/>
          <w:szCs w:val="24"/>
        </w:rPr>
        <w:t>dell’intervento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normativo</w:t>
      </w:r>
      <w:proofErr w:type="spellEnd"/>
      <w:r>
        <w:rPr>
          <w:rFonts w:eastAsia="Times New Roman"/>
          <w:sz w:val="24"/>
          <w:szCs w:val="24"/>
        </w:rPr>
        <w:t xml:space="preserve"> da </w:t>
      </w:r>
      <w:proofErr w:type="spellStart"/>
      <w:r>
        <w:rPr>
          <w:rFonts w:eastAsia="Times New Roman"/>
          <w:sz w:val="24"/>
          <w:szCs w:val="24"/>
        </w:rPr>
        <w:t>parte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delle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Regioni</w:t>
      </w:r>
      <w:proofErr w:type="spellEnd"/>
      <w:r>
        <w:rPr>
          <w:rFonts w:eastAsia="Times New Roman"/>
          <w:sz w:val="24"/>
          <w:szCs w:val="24"/>
        </w:rPr>
        <w:t xml:space="preserve">, per le </w:t>
      </w:r>
      <w:proofErr w:type="spellStart"/>
      <w:r>
        <w:rPr>
          <w:rFonts w:eastAsia="Times New Roman"/>
          <w:sz w:val="24"/>
          <w:szCs w:val="24"/>
        </w:rPr>
        <w:t>quali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sarebbero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necessari</w:t>
      </w:r>
      <w:proofErr w:type="spellEnd"/>
      <w:r>
        <w:rPr>
          <w:rFonts w:eastAsia="Times New Roman"/>
          <w:sz w:val="24"/>
          <w:szCs w:val="24"/>
        </w:rPr>
        <w:t xml:space="preserve"> un </w:t>
      </w:r>
      <w:proofErr w:type="spellStart"/>
      <w:r>
        <w:rPr>
          <w:rFonts w:eastAsia="Times New Roman"/>
          <w:sz w:val="24"/>
          <w:szCs w:val="24"/>
        </w:rPr>
        <w:t>censimento</w:t>
      </w:r>
      <w:proofErr w:type="spellEnd"/>
      <w:r>
        <w:rPr>
          <w:rFonts w:eastAsia="Times New Roman"/>
          <w:sz w:val="24"/>
          <w:szCs w:val="24"/>
        </w:rPr>
        <w:t xml:space="preserve"> ed una </w:t>
      </w:r>
      <w:proofErr w:type="spellStart"/>
      <w:r>
        <w:rPr>
          <w:rFonts w:eastAsia="Times New Roman"/>
          <w:sz w:val="24"/>
          <w:szCs w:val="24"/>
        </w:rPr>
        <w:t>conseguente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riqualificazione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ambientale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nonostante</w:t>
      </w:r>
      <w:proofErr w:type="spellEnd"/>
      <w:r>
        <w:rPr>
          <w:rFonts w:eastAsia="Times New Roman"/>
          <w:sz w:val="24"/>
          <w:szCs w:val="24"/>
        </w:rPr>
        <w:t xml:space="preserve"> la </w:t>
      </w:r>
      <w:proofErr w:type="spellStart"/>
      <w:r>
        <w:rPr>
          <w:rFonts w:eastAsia="Times New Roman"/>
          <w:sz w:val="24"/>
          <w:szCs w:val="24"/>
        </w:rPr>
        <w:t>probabile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rinatu</w:t>
      </w:r>
      <w:r>
        <w:rPr>
          <w:rFonts w:eastAsia="Times New Roman"/>
          <w:sz w:val="24"/>
          <w:szCs w:val="24"/>
        </w:rPr>
        <w:t>ralizzazione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spontanea</w:t>
      </w:r>
      <w:proofErr w:type="spellEnd"/>
      <w:r>
        <w:rPr>
          <w:rFonts w:eastAsia="Times New Roman"/>
          <w:sz w:val="24"/>
          <w:szCs w:val="24"/>
        </w:rPr>
        <w:t xml:space="preserve"> di </w:t>
      </w:r>
      <w:proofErr w:type="spellStart"/>
      <w:r>
        <w:rPr>
          <w:rFonts w:eastAsia="Times New Roman"/>
          <w:sz w:val="24"/>
          <w:szCs w:val="24"/>
        </w:rPr>
        <w:t>molti</w:t>
      </w:r>
      <w:proofErr w:type="spellEnd"/>
      <w:r>
        <w:rPr>
          <w:rFonts w:eastAsia="Times New Roman"/>
          <w:sz w:val="24"/>
          <w:szCs w:val="24"/>
        </w:rPr>
        <w:t xml:space="preserve"> di </w:t>
      </w:r>
      <w:proofErr w:type="spellStart"/>
      <w:r>
        <w:rPr>
          <w:rFonts w:eastAsia="Times New Roman"/>
          <w:sz w:val="24"/>
          <w:szCs w:val="24"/>
        </w:rPr>
        <w:t>questi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luoghi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73F21926" w14:textId="77777777" w:rsidR="007C5509" w:rsidRDefault="009D35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 </w:t>
      </w:r>
      <w:proofErr w:type="spellStart"/>
      <w:r>
        <w:rPr>
          <w:rFonts w:eastAsia="Times New Roman"/>
          <w:color w:val="000000"/>
          <w:sz w:val="24"/>
          <w:szCs w:val="24"/>
        </w:rPr>
        <w:t>positivo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sottolineato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come in Sicilia </w:t>
      </w:r>
      <w:proofErr w:type="spellStart"/>
      <w:r>
        <w:rPr>
          <w:rFonts w:eastAsia="Times New Roman"/>
          <w:color w:val="000000"/>
          <w:sz w:val="24"/>
          <w:szCs w:val="24"/>
        </w:rPr>
        <w:t>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preveda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l’obbligo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recupero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contestuale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estrattivi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Proprio per </w:t>
      </w:r>
      <w:proofErr w:type="spellStart"/>
      <w:r>
        <w:rPr>
          <w:rFonts w:eastAsia="Times New Roman"/>
          <w:color w:val="000000"/>
          <w:sz w:val="24"/>
          <w:szCs w:val="24"/>
        </w:rPr>
        <w:t>questo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tipo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interventi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color w:val="000000"/>
          <w:sz w:val="24"/>
          <w:szCs w:val="24"/>
        </w:rPr>
        <w:t>canone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riscosso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è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destinato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per una quota non </w:t>
      </w:r>
      <w:proofErr w:type="spellStart"/>
      <w:r>
        <w:rPr>
          <w:rFonts w:eastAsia="Times New Roman"/>
          <w:color w:val="000000"/>
          <w:sz w:val="24"/>
          <w:szCs w:val="24"/>
        </w:rPr>
        <w:t>inferio</w:t>
      </w:r>
      <w:r>
        <w:rPr>
          <w:rFonts w:eastAsia="Times New Roman"/>
          <w:color w:val="000000"/>
          <w:sz w:val="24"/>
          <w:szCs w:val="24"/>
        </w:rPr>
        <w:t>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al 50%, </w:t>
      </w:r>
      <w:proofErr w:type="spellStart"/>
      <w:r>
        <w:rPr>
          <w:rFonts w:eastAsia="Times New Roman"/>
          <w:color w:val="000000"/>
          <w:sz w:val="24"/>
          <w:szCs w:val="24"/>
        </w:rPr>
        <w:t>agli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interventi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manutenzione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valorizzazione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ambientale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ed </w:t>
      </w:r>
      <w:proofErr w:type="spellStart"/>
      <w:r>
        <w:rPr>
          <w:rFonts w:eastAsia="Times New Roman"/>
          <w:color w:val="000000"/>
          <w:sz w:val="24"/>
          <w:szCs w:val="24"/>
        </w:rPr>
        <w:t>infrastrutturale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connessi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all’attività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estrattiva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oltre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beni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immobili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confiscati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mafia ed alle </w:t>
      </w:r>
      <w:proofErr w:type="spellStart"/>
      <w:r>
        <w:rPr>
          <w:rFonts w:eastAsia="Times New Roman"/>
          <w:color w:val="000000"/>
          <w:sz w:val="24"/>
          <w:szCs w:val="24"/>
        </w:rPr>
        <w:t>organizzazioni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criminali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29BBC4B0" w14:textId="77777777" w:rsidR="007C5509" w:rsidRDefault="009D35E3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La Sicilia non </w:t>
      </w:r>
      <w:proofErr w:type="spellStart"/>
      <w:r>
        <w:rPr>
          <w:rFonts w:eastAsia="Times New Roman"/>
          <w:color w:val="000000"/>
          <w:sz w:val="24"/>
          <w:szCs w:val="24"/>
        </w:rPr>
        <w:t>mostra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sanzioni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particolarment</w:t>
      </w:r>
      <w:r>
        <w:rPr>
          <w:rFonts w:eastAsia="Times New Roman"/>
          <w:color w:val="000000"/>
          <w:sz w:val="24"/>
          <w:szCs w:val="24"/>
        </w:rPr>
        <w:t>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elevate in </w:t>
      </w:r>
      <w:proofErr w:type="spellStart"/>
      <w:r>
        <w:rPr>
          <w:rFonts w:eastAsia="Times New Roman"/>
          <w:color w:val="000000"/>
          <w:sz w:val="24"/>
          <w:szCs w:val="24"/>
        </w:rPr>
        <w:t>caso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illeciti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soprattutto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eastAsia="Times New Roman"/>
          <w:color w:val="000000"/>
          <w:sz w:val="24"/>
          <w:szCs w:val="24"/>
        </w:rPr>
        <w:t>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pensa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ai </w:t>
      </w:r>
      <w:proofErr w:type="spellStart"/>
      <w:r>
        <w:rPr>
          <w:rFonts w:eastAsia="Times New Roman"/>
          <w:color w:val="000000"/>
          <w:sz w:val="24"/>
          <w:szCs w:val="24"/>
        </w:rPr>
        <w:t>gravi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danni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ambientali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generati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Per la </w:t>
      </w:r>
      <w:proofErr w:type="spellStart"/>
      <w:r>
        <w:rPr>
          <w:rFonts w:eastAsia="Times New Roman"/>
          <w:color w:val="000000"/>
          <w:sz w:val="24"/>
          <w:szCs w:val="24"/>
        </w:rPr>
        <w:t>coltivazione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illegale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l’ammenda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è</w:t>
      </w:r>
      <w:r>
        <w:rPr>
          <w:rFonts w:eastAsia="Times New Roman"/>
          <w:color w:val="000000"/>
          <w:sz w:val="24"/>
          <w:szCs w:val="24"/>
        </w:rPr>
        <w:t xml:space="preserve"> di €20.710,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con  </w:t>
      </w:r>
      <w:proofErr w:type="spellStart"/>
      <w:r>
        <w:rPr>
          <w:rFonts w:eastAsia="Times New Roman"/>
          <w:color w:val="000000"/>
          <w:sz w:val="24"/>
          <w:szCs w:val="24"/>
        </w:rPr>
        <w:t>aggravanti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caso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recidiva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23754D69" w14:textId="77777777" w:rsidR="007C5509" w:rsidRDefault="007C5509">
      <w:pPr>
        <w:rPr>
          <w:b/>
          <w:bCs/>
          <w:sz w:val="24"/>
          <w:szCs w:val="24"/>
        </w:rPr>
      </w:pPr>
    </w:p>
    <w:p w14:paraId="662774D5" w14:textId="77777777" w:rsidR="007C5509" w:rsidRDefault="007C5509">
      <w:pPr>
        <w:rPr>
          <w:b/>
          <w:bCs/>
          <w:sz w:val="24"/>
          <w:szCs w:val="24"/>
        </w:rPr>
      </w:pPr>
    </w:p>
    <w:p w14:paraId="12B9F85B" w14:textId="77777777" w:rsidR="007C5509" w:rsidRDefault="009D3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</w:t>
      </w:r>
      <w:proofErr w:type="spellStart"/>
      <w:r>
        <w:rPr>
          <w:b/>
          <w:bCs/>
          <w:sz w:val="24"/>
          <w:szCs w:val="24"/>
        </w:rPr>
        <w:t>piaga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dell’abusivismo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delle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pietre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laviche</w:t>
      </w:r>
      <w:proofErr w:type="spellEnd"/>
      <w:r>
        <w:rPr>
          <w:b/>
          <w:bCs/>
          <w:sz w:val="24"/>
          <w:szCs w:val="24"/>
        </w:rPr>
        <w:t xml:space="preserve"> in Sicilia</w:t>
      </w:r>
    </w:p>
    <w:p w14:paraId="037980E5" w14:textId="77777777" w:rsidR="007C5509" w:rsidRDefault="009D35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Non </w:t>
      </w:r>
      <w:proofErr w:type="spellStart"/>
      <w:r>
        <w:rPr>
          <w:rFonts w:eastAsia="Times New Roman"/>
          <w:color w:val="000000"/>
          <w:sz w:val="24"/>
          <w:szCs w:val="24"/>
        </w:rPr>
        <w:t>mancano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S</w:t>
      </w:r>
      <w:r>
        <w:rPr>
          <w:rFonts w:eastAsia="Times New Roman"/>
          <w:color w:val="000000"/>
          <w:sz w:val="24"/>
          <w:szCs w:val="24"/>
        </w:rPr>
        <w:t xml:space="preserve">icilia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sequestri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cave abusive. Il </w:t>
      </w:r>
      <w:proofErr w:type="spellStart"/>
      <w:r>
        <w:rPr>
          <w:rFonts w:eastAsia="Times New Roman"/>
          <w:color w:val="000000"/>
          <w:sz w:val="24"/>
          <w:szCs w:val="24"/>
        </w:rPr>
        <w:t>comparto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pietra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lavica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risulta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uno </w:t>
      </w:r>
      <w:proofErr w:type="spellStart"/>
      <w:r>
        <w:rPr>
          <w:rFonts w:eastAsia="Times New Roman"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più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colpiti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e, per </w:t>
      </w:r>
      <w:proofErr w:type="spellStart"/>
      <w:r>
        <w:rPr>
          <w:rFonts w:eastAsia="Times New Roman"/>
          <w:color w:val="000000"/>
          <w:sz w:val="24"/>
          <w:szCs w:val="24"/>
        </w:rPr>
        <w:t>ovvi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motivi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le </w:t>
      </w:r>
      <w:proofErr w:type="spellStart"/>
      <w:r>
        <w:rPr>
          <w:rFonts w:eastAsia="Times New Roman"/>
          <w:color w:val="000000"/>
          <w:sz w:val="24"/>
          <w:szCs w:val="24"/>
        </w:rPr>
        <w:t>illegalità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concentrate </w:t>
      </w:r>
      <w:proofErr w:type="spellStart"/>
      <w:r>
        <w:rPr>
          <w:rFonts w:eastAsia="Times New Roman"/>
          <w:color w:val="000000"/>
          <w:sz w:val="24"/>
          <w:szCs w:val="24"/>
        </w:rPr>
        <w:t>nell’area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orientale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dell’isola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67528FC1" w14:textId="77777777" w:rsidR="007C5509" w:rsidRDefault="009D35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Solamente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tra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il 2016 ed il 2019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stati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effettuati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22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sequestri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d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i cava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nella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Sicilia Orientale a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cura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del N.O.E. di Catania</w:t>
      </w:r>
      <w:r>
        <w:rPr>
          <w:rFonts w:eastAsia="Times New Roman"/>
          <w:color w:val="000000"/>
          <w:sz w:val="24"/>
          <w:szCs w:val="24"/>
        </w:rPr>
        <w:t xml:space="preserve">. Una </w:t>
      </w:r>
      <w:proofErr w:type="spellStart"/>
      <w:r>
        <w:rPr>
          <w:rFonts w:eastAsia="Times New Roman"/>
          <w:color w:val="000000"/>
          <w:sz w:val="24"/>
          <w:szCs w:val="24"/>
        </w:rPr>
        <w:t>stima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Consorzio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Pietra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Lavica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dell’Etna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denuncia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come  il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20% circa del </w:t>
      </w:r>
      <w:proofErr w:type="spellStart"/>
      <w:r>
        <w:rPr>
          <w:rFonts w:eastAsia="Times New Roman"/>
          <w:color w:val="000000"/>
          <w:sz w:val="24"/>
          <w:szCs w:val="24"/>
        </w:rPr>
        <w:t>materiale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lavico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commercializzato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negli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scorsi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anni non </w:t>
      </w:r>
      <w:proofErr w:type="spellStart"/>
      <w:r>
        <w:rPr>
          <w:rFonts w:eastAsia="Times New Roman"/>
          <w:color w:val="000000"/>
          <w:sz w:val="24"/>
          <w:szCs w:val="24"/>
        </w:rPr>
        <w:t>provenga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 cave </w:t>
      </w:r>
      <w:proofErr w:type="spellStart"/>
      <w:r>
        <w:rPr>
          <w:rFonts w:eastAsia="Times New Roman"/>
          <w:color w:val="000000"/>
          <w:sz w:val="24"/>
          <w:szCs w:val="24"/>
        </w:rPr>
        <w:t>autorizzate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6561D2A7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Uno </w:t>
      </w:r>
      <w:proofErr w:type="spellStart"/>
      <w:r>
        <w:rPr>
          <w:rFonts w:eastAsia="Times New Roman"/>
          <w:color w:val="000000"/>
          <w:sz w:val="24"/>
          <w:szCs w:val="24"/>
        </w:rPr>
        <w:t>degli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esempi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più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24"/>
          <w:szCs w:val="24"/>
        </w:rPr>
        <w:t>lamorosi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per via </w:t>
      </w:r>
      <w:proofErr w:type="spellStart"/>
      <w:r>
        <w:rPr>
          <w:rFonts w:eastAsia="Times New Roman"/>
          <w:color w:val="000000"/>
          <w:sz w:val="24"/>
          <w:szCs w:val="24"/>
        </w:rPr>
        <w:t>della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grandezza </w:t>
      </w:r>
      <w:proofErr w:type="spellStart"/>
      <w:r>
        <w:rPr>
          <w:rFonts w:eastAsia="Times New Roman"/>
          <w:color w:val="000000"/>
          <w:sz w:val="24"/>
          <w:szCs w:val="24"/>
        </w:rPr>
        <w:t>dell’area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interessata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è </w:t>
      </w:r>
      <w:proofErr w:type="spellStart"/>
      <w:r>
        <w:rPr>
          <w:rFonts w:eastAsia="Times New Roman"/>
          <w:color w:val="000000"/>
          <w:sz w:val="24"/>
          <w:szCs w:val="24"/>
        </w:rPr>
        <w:t>avvenuto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Gennaio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2018, </w:t>
      </w:r>
      <w:proofErr w:type="spellStart"/>
      <w:r>
        <w:rPr>
          <w:rFonts w:eastAsia="Times New Roman"/>
          <w:color w:val="000000"/>
          <w:sz w:val="24"/>
          <w:szCs w:val="24"/>
        </w:rPr>
        <w:t>quando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una cava </w:t>
      </w:r>
      <w:proofErr w:type="spellStart"/>
      <w:r>
        <w:rPr>
          <w:rFonts w:eastAsia="Times New Roman"/>
          <w:color w:val="000000"/>
          <w:sz w:val="24"/>
          <w:szCs w:val="24"/>
        </w:rPr>
        <w:t>gestita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senza alcuna </w:t>
      </w:r>
      <w:proofErr w:type="spellStart"/>
      <w:r>
        <w:rPr>
          <w:rFonts w:eastAsia="Times New Roman"/>
          <w:color w:val="000000"/>
          <w:sz w:val="24"/>
          <w:szCs w:val="24"/>
        </w:rPr>
        <w:t>autorizzazione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è </w:t>
      </w:r>
      <w:proofErr w:type="spellStart"/>
      <w:r>
        <w:rPr>
          <w:rFonts w:eastAsia="Times New Roman"/>
          <w:color w:val="000000"/>
          <w:sz w:val="24"/>
          <w:szCs w:val="24"/>
        </w:rPr>
        <w:t>stata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sequestrata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eastAsia="Times New Roman"/>
          <w:color w:val="000000"/>
          <w:sz w:val="24"/>
          <w:szCs w:val="24"/>
        </w:rPr>
        <w:t>militari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N.O.E. a Mascali (CT). Si </w:t>
      </w:r>
      <w:proofErr w:type="spellStart"/>
      <w:r>
        <w:rPr>
          <w:rFonts w:eastAsia="Times New Roman"/>
          <w:color w:val="000000"/>
          <w:sz w:val="24"/>
          <w:szCs w:val="24"/>
        </w:rPr>
        <w:t>tratta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circa 40.000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quadrati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totale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</w:t>
      </w:r>
      <w:r>
        <w:rPr>
          <w:rFonts w:eastAsia="Times New Roman"/>
          <w:color w:val="000000"/>
          <w:sz w:val="24"/>
          <w:szCs w:val="24"/>
        </w:rPr>
        <w:t xml:space="preserve">e </w:t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l’area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dove </w:t>
      </w:r>
      <w:proofErr w:type="spellStart"/>
      <w:r>
        <w:rPr>
          <w:rFonts w:eastAsia="Times New Roman"/>
          <w:color w:val="000000"/>
          <w:sz w:val="24"/>
          <w:szCs w:val="24"/>
        </w:rPr>
        <w:t>veniva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condotta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l'attività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estrazione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abusiva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è </w:t>
      </w:r>
      <w:proofErr w:type="spellStart"/>
      <w:r>
        <w:rPr>
          <w:rFonts w:eastAsia="Times New Roman"/>
          <w:color w:val="000000"/>
          <w:sz w:val="24"/>
          <w:szCs w:val="24"/>
        </w:rPr>
        <w:t>risultata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pari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circa 10.000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quadrati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</w:rPr>
        <w:t>L’intera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zona è </w:t>
      </w:r>
      <w:proofErr w:type="spellStart"/>
      <w:r>
        <w:rPr>
          <w:rFonts w:eastAsia="Times New Roman"/>
          <w:color w:val="000000"/>
          <w:sz w:val="24"/>
          <w:szCs w:val="24"/>
        </w:rPr>
        <w:t>sottoposta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vincolo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paesaggistico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sin dal 1991, come </w:t>
      </w:r>
      <w:proofErr w:type="spellStart"/>
      <w:r>
        <w:rPr>
          <w:rFonts w:eastAsia="Times New Roman"/>
          <w:color w:val="000000"/>
          <w:sz w:val="24"/>
          <w:szCs w:val="24"/>
        </w:rPr>
        <w:t>tutto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color w:val="000000"/>
          <w:sz w:val="24"/>
          <w:szCs w:val="24"/>
        </w:rPr>
        <w:t>comprensorio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interessato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dalla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colata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lavica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dell'Etna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1928.</w:t>
      </w:r>
      <w:r>
        <w:rPr>
          <w:rFonts w:eastAsia="Times New Roman"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color w:val="000000"/>
          <w:sz w:val="24"/>
          <w:szCs w:val="24"/>
        </w:rPr>
        <w:t>valore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sequestro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è </w:t>
      </w:r>
      <w:proofErr w:type="spellStart"/>
      <w:r>
        <w:rPr>
          <w:rFonts w:eastAsia="Times New Roman"/>
          <w:color w:val="000000"/>
          <w:sz w:val="24"/>
          <w:szCs w:val="24"/>
        </w:rPr>
        <w:t>stato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stimato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oltre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eastAsia="Times New Roman"/>
          <w:color w:val="000000"/>
          <w:sz w:val="24"/>
          <w:szCs w:val="24"/>
        </w:rPr>
        <w:t>milione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euro. </w:t>
      </w:r>
    </w:p>
    <w:p w14:paraId="74DB2DF3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Poi, </w:t>
      </w:r>
      <w:proofErr w:type="spellStart"/>
      <w:r>
        <w:rPr>
          <w:rFonts w:eastAsia="Times New Roman"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Febbraio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2019, sempre il N.O.E. di Catania a </w:t>
      </w:r>
      <w:proofErr w:type="spellStart"/>
      <w:r>
        <w:rPr>
          <w:rFonts w:eastAsia="Times New Roman"/>
          <w:color w:val="000000"/>
          <w:sz w:val="24"/>
          <w:szCs w:val="24"/>
        </w:rPr>
        <w:t>seguito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un primo </w:t>
      </w:r>
      <w:proofErr w:type="spellStart"/>
      <w:r>
        <w:rPr>
          <w:rFonts w:eastAsia="Times New Roman"/>
          <w:color w:val="000000"/>
          <w:sz w:val="24"/>
          <w:szCs w:val="24"/>
        </w:rPr>
        <w:t>sequestro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località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Casellaccia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Comune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Nicolosi, ha </w:t>
      </w:r>
      <w:proofErr w:type="spellStart"/>
      <w:r>
        <w:rPr>
          <w:rFonts w:eastAsia="Times New Roman"/>
          <w:color w:val="000000"/>
          <w:sz w:val="24"/>
          <w:szCs w:val="24"/>
        </w:rPr>
        <w:t>accertato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dal 1998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nessuna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autorizzazione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valida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era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stata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rilasciata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Società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effettuava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estrazione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basal</w:t>
      </w:r>
      <w:r>
        <w:rPr>
          <w:rFonts w:eastAsia="Times New Roman"/>
          <w:color w:val="000000"/>
          <w:sz w:val="24"/>
          <w:szCs w:val="24"/>
        </w:rPr>
        <w:t>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lavico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sull’area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questione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177EC8F4" w14:textId="77777777" w:rsidR="007C5509" w:rsidRDefault="009D35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L’area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vedeva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piani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cava </w:t>
      </w:r>
      <w:proofErr w:type="spellStart"/>
      <w:r>
        <w:rPr>
          <w:rFonts w:eastAsia="Times New Roman"/>
          <w:color w:val="000000"/>
          <w:sz w:val="24"/>
          <w:szCs w:val="24"/>
        </w:rPr>
        <w:t>svilupparsi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centinaia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con </w:t>
      </w:r>
      <w:proofErr w:type="spellStart"/>
      <w:r>
        <w:rPr>
          <w:rFonts w:eastAsia="Times New Roman"/>
          <w:color w:val="000000"/>
          <w:sz w:val="24"/>
          <w:szCs w:val="24"/>
        </w:rPr>
        <w:t>fronti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alcuni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punti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alti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15/20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mentre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una prima </w:t>
      </w:r>
      <w:proofErr w:type="spellStart"/>
      <w:r>
        <w:rPr>
          <w:rFonts w:eastAsia="Times New Roman"/>
          <w:color w:val="000000"/>
          <w:sz w:val="24"/>
          <w:szCs w:val="24"/>
        </w:rPr>
        <w:t>stima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materiale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prelevato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era </w:t>
      </w:r>
      <w:proofErr w:type="spellStart"/>
      <w:r>
        <w:rPr>
          <w:rFonts w:eastAsia="Times New Roman"/>
          <w:color w:val="000000"/>
          <w:sz w:val="24"/>
          <w:szCs w:val="24"/>
        </w:rPr>
        <w:t>nell’ordine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centinaia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migliaia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cubi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ro</w:t>
      </w:r>
      <w:r>
        <w:rPr>
          <w:rFonts w:eastAsia="Times New Roman"/>
          <w:color w:val="000000"/>
          <w:sz w:val="24"/>
          <w:szCs w:val="24"/>
        </w:rPr>
        <w:t>ccia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lavica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risultata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essere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già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stata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avviata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lavorazione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frantumata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commercializzata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75EFEDE9" w14:textId="77777777" w:rsidR="007C5509" w:rsidRDefault="009D35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Ad </w:t>
      </w:r>
      <w:proofErr w:type="spellStart"/>
      <w:r>
        <w:rPr>
          <w:rFonts w:eastAsia="Times New Roman"/>
          <w:color w:val="000000"/>
          <w:sz w:val="24"/>
          <w:szCs w:val="24"/>
        </w:rPr>
        <w:t>Aprile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2019 </w:t>
      </w:r>
      <w:proofErr w:type="spellStart"/>
      <w:r>
        <w:rPr>
          <w:rFonts w:eastAsia="Times New Roman"/>
          <w:color w:val="000000"/>
          <w:sz w:val="24"/>
          <w:szCs w:val="24"/>
        </w:rPr>
        <w:t>ancora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azione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Carabinieri del N.O.E. di Catania, in una </w:t>
      </w:r>
      <w:proofErr w:type="spellStart"/>
      <w:r>
        <w:rPr>
          <w:rFonts w:eastAsia="Times New Roman"/>
          <w:color w:val="000000"/>
          <w:sz w:val="24"/>
          <w:szCs w:val="24"/>
        </w:rPr>
        <w:t>vasta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area </w:t>
      </w:r>
      <w:proofErr w:type="spellStart"/>
      <w:r>
        <w:rPr>
          <w:rFonts w:eastAsia="Times New Roman"/>
          <w:color w:val="000000"/>
          <w:sz w:val="24"/>
          <w:szCs w:val="24"/>
        </w:rPr>
        <w:t>nelle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campagne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Comiso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(RG), </w:t>
      </w:r>
      <w:proofErr w:type="spellStart"/>
      <w:r>
        <w:rPr>
          <w:rFonts w:eastAsia="Times New Roman"/>
          <w:color w:val="000000"/>
          <w:sz w:val="24"/>
          <w:szCs w:val="24"/>
        </w:rPr>
        <w:t>questa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volta per il </w:t>
      </w:r>
      <w:proofErr w:type="spellStart"/>
      <w:r>
        <w:rPr>
          <w:rFonts w:eastAsia="Times New Roman"/>
          <w:color w:val="000000"/>
          <w:sz w:val="24"/>
          <w:szCs w:val="24"/>
        </w:rPr>
        <w:t>sequestro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una cava </w:t>
      </w:r>
      <w:proofErr w:type="spellStart"/>
      <w:r>
        <w:rPr>
          <w:rFonts w:eastAsia="Times New Roman"/>
          <w:color w:val="000000"/>
          <w:sz w:val="24"/>
          <w:szCs w:val="24"/>
        </w:rPr>
        <w:t>ab</w:t>
      </w:r>
      <w:r>
        <w:rPr>
          <w:rFonts w:eastAsia="Times New Roman"/>
          <w:color w:val="000000"/>
          <w:sz w:val="24"/>
          <w:szCs w:val="24"/>
        </w:rPr>
        <w:t>usiva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calcare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</w:rPr>
        <w:t>Impressionante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ancora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una volta,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l’estensione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dell’area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pari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a 90mila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quadrati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mentre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alcuni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punti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la cava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risultava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essere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profonda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fino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a 20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Il </w:t>
      </w:r>
      <w:proofErr w:type="spellStart"/>
      <w:r>
        <w:rPr>
          <w:rFonts w:eastAsia="Times New Roman"/>
          <w:color w:val="000000"/>
          <w:sz w:val="24"/>
          <w:szCs w:val="24"/>
        </w:rPr>
        <w:t>tutto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senza alcuna </w:t>
      </w:r>
      <w:proofErr w:type="spellStart"/>
      <w:r>
        <w:rPr>
          <w:rFonts w:eastAsia="Times New Roman"/>
          <w:color w:val="000000"/>
          <w:sz w:val="24"/>
          <w:szCs w:val="24"/>
        </w:rPr>
        <w:t>autorizzazione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10870978" w14:textId="77777777" w:rsidR="007C5509" w:rsidRDefault="009D35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Sotto </w:t>
      </w:r>
      <w:proofErr w:type="spellStart"/>
      <w:r>
        <w:rPr>
          <w:rFonts w:eastAsia="Times New Roman"/>
          <w:color w:val="000000"/>
          <w:sz w:val="24"/>
          <w:szCs w:val="24"/>
        </w:rPr>
        <w:t>sequestro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automezzi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centin</w:t>
      </w:r>
      <w:r>
        <w:rPr>
          <w:rFonts w:eastAsia="Times New Roman"/>
          <w:color w:val="000000"/>
          <w:sz w:val="24"/>
          <w:szCs w:val="24"/>
        </w:rPr>
        <w:t>aia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migliaia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cubi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materiale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precedentemente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estratto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pronto per la </w:t>
      </w:r>
      <w:proofErr w:type="spellStart"/>
      <w:r>
        <w:rPr>
          <w:rFonts w:eastAsia="Times New Roman"/>
          <w:color w:val="000000"/>
          <w:sz w:val="24"/>
          <w:szCs w:val="24"/>
        </w:rPr>
        <w:t>commercializzazione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del </w:t>
      </w:r>
      <w:proofErr w:type="spellStart"/>
      <w:r>
        <w:rPr>
          <w:rFonts w:eastAsia="Times New Roman"/>
          <w:color w:val="000000"/>
          <w:sz w:val="24"/>
          <w:szCs w:val="24"/>
        </w:rPr>
        <w:t>valore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complessivo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oltre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eastAsia="Times New Roman"/>
          <w:color w:val="000000"/>
          <w:sz w:val="24"/>
          <w:szCs w:val="24"/>
        </w:rPr>
        <w:t>milione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euro. </w:t>
      </w:r>
    </w:p>
    <w:p w14:paraId="278303F5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Infine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10 </w:t>
      </w:r>
      <w:proofErr w:type="spellStart"/>
      <w:r>
        <w:rPr>
          <w:rFonts w:eastAsia="Times New Roman"/>
          <w:color w:val="000000"/>
          <w:sz w:val="24"/>
          <w:szCs w:val="24"/>
        </w:rPr>
        <w:t>Dicembre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2020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controlli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hanno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riguardato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una cava in </w:t>
      </w:r>
      <w:proofErr w:type="spellStart"/>
      <w:r>
        <w:rPr>
          <w:rFonts w:eastAsia="Times New Roman"/>
          <w:color w:val="000000"/>
          <w:sz w:val="24"/>
          <w:szCs w:val="24"/>
        </w:rPr>
        <w:t>contrada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Montecenere-Funeria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B</w:t>
      </w:r>
      <w:r>
        <w:rPr>
          <w:rFonts w:eastAsia="Times New Roman"/>
          <w:color w:val="000000"/>
          <w:sz w:val="24"/>
          <w:szCs w:val="24"/>
        </w:rPr>
        <w:t>elpasso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(CT). </w:t>
      </w:r>
      <w:proofErr w:type="spellStart"/>
      <w:r>
        <w:rPr>
          <w:rFonts w:eastAsia="Times New Roman"/>
          <w:color w:val="000000"/>
          <w:sz w:val="24"/>
          <w:szCs w:val="24"/>
        </w:rPr>
        <w:t>L'area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circa 160 </w:t>
      </w:r>
      <w:proofErr w:type="spellStart"/>
      <w:r>
        <w:rPr>
          <w:rFonts w:eastAsia="Times New Roman"/>
          <w:color w:val="000000"/>
          <w:sz w:val="24"/>
          <w:szCs w:val="24"/>
        </w:rPr>
        <w:t>mila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metri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quadrati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situa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colata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lavica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1669 dove una </w:t>
      </w:r>
      <w:proofErr w:type="spellStart"/>
      <w:r>
        <w:rPr>
          <w:rFonts w:eastAsia="Times New Roman"/>
          <w:color w:val="000000"/>
          <w:sz w:val="24"/>
          <w:szCs w:val="24"/>
        </w:rPr>
        <w:t>parte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era </w:t>
      </w:r>
      <w:proofErr w:type="spellStart"/>
      <w:r>
        <w:rPr>
          <w:rFonts w:eastAsia="Times New Roman"/>
          <w:color w:val="000000"/>
          <w:sz w:val="24"/>
          <w:szCs w:val="24"/>
        </w:rPr>
        <w:t>stata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già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oggetto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estrazione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abusiva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Il </w:t>
      </w:r>
      <w:proofErr w:type="spellStart"/>
      <w:r>
        <w:rPr>
          <w:rFonts w:eastAsia="Times New Roman"/>
          <w:color w:val="000000"/>
          <w:sz w:val="24"/>
          <w:szCs w:val="24"/>
        </w:rPr>
        <w:t>sito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cava non era </w:t>
      </w:r>
      <w:proofErr w:type="spellStart"/>
      <w:r>
        <w:rPr>
          <w:rFonts w:eastAsia="Times New Roman"/>
          <w:color w:val="000000"/>
          <w:sz w:val="24"/>
          <w:szCs w:val="24"/>
        </w:rPr>
        <w:t>stato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autorizzato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non </w:t>
      </w:r>
      <w:proofErr w:type="spellStart"/>
      <w:r>
        <w:rPr>
          <w:rFonts w:eastAsia="Times New Roman"/>
          <w:color w:val="000000"/>
          <w:sz w:val="24"/>
          <w:szCs w:val="24"/>
        </w:rPr>
        <w:t>erano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nemmeno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applicate </w:t>
      </w:r>
      <w:proofErr w:type="spellStart"/>
      <w:r>
        <w:rPr>
          <w:rFonts w:eastAsia="Times New Roman"/>
          <w:color w:val="000000"/>
          <w:sz w:val="24"/>
          <w:szCs w:val="24"/>
        </w:rPr>
        <w:t>alcune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norme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sicurezza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lavoratori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di </w:t>
      </w:r>
      <w:proofErr w:type="spellStart"/>
      <w:r>
        <w:rPr>
          <w:rFonts w:eastAsia="Times New Roman"/>
          <w:color w:val="000000"/>
          <w:sz w:val="24"/>
          <w:szCs w:val="24"/>
        </w:rPr>
        <w:t>conseguenza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l’area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è </w:t>
      </w:r>
      <w:proofErr w:type="spellStart"/>
      <w:r>
        <w:rPr>
          <w:rFonts w:eastAsia="Times New Roman"/>
          <w:color w:val="000000"/>
          <w:sz w:val="24"/>
          <w:szCs w:val="24"/>
        </w:rPr>
        <w:t>stata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posta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sotto </w:t>
      </w:r>
      <w:proofErr w:type="spellStart"/>
      <w:r>
        <w:rPr>
          <w:rFonts w:eastAsia="Times New Roman"/>
          <w:color w:val="000000"/>
          <w:sz w:val="24"/>
          <w:szCs w:val="24"/>
        </w:rPr>
        <w:t>sequestro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683B8CCB" w14:textId="77777777" w:rsidR="007C5509" w:rsidRDefault="007C5509">
      <w:pPr>
        <w:jc w:val="both"/>
        <w:rPr>
          <w:rFonts w:eastAsia="Times New Roman"/>
          <w:color w:val="000000"/>
          <w:sz w:val="24"/>
          <w:szCs w:val="24"/>
        </w:rPr>
      </w:pPr>
    </w:p>
    <w:p w14:paraId="4F9529D4" w14:textId="77777777" w:rsidR="007C5509" w:rsidRDefault="007C5509">
      <w:pPr>
        <w:jc w:val="both"/>
        <w:rPr>
          <w:rFonts w:eastAsia="Times New Roman"/>
          <w:color w:val="000000"/>
          <w:sz w:val="24"/>
          <w:szCs w:val="24"/>
        </w:rPr>
      </w:pPr>
    </w:p>
    <w:p w14:paraId="28727AF1" w14:textId="77777777" w:rsidR="007C5509" w:rsidRDefault="009D35E3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Le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proposte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Legambiente</w:t>
      </w:r>
      <w:proofErr w:type="spellEnd"/>
    </w:p>
    <w:p w14:paraId="4AE3299F" w14:textId="77777777" w:rsidR="007C5509" w:rsidRDefault="007C5509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07C089D6" w14:textId="77777777" w:rsidR="007C5509" w:rsidRDefault="009D35E3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1) Lotta alle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illegalità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aumento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delle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sanzioni</w:t>
      </w:r>
      <w:proofErr w:type="spellEnd"/>
    </w:p>
    <w:p w14:paraId="00749EC1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eastAsia="Times New Roman"/>
          <w:color w:val="000000"/>
          <w:sz w:val="24"/>
          <w:szCs w:val="24"/>
        </w:rPr>
        <w:t>controllo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legalità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è una </w:t>
      </w:r>
      <w:proofErr w:type="spellStart"/>
      <w:r>
        <w:rPr>
          <w:rFonts w:eastAsia="Times New Roman"/>
          <w:color w:val="000000"/>
          <w:sz w:val="24"/>
          <w:szCs w:val="24"/>
        </w:rPr>
        <w:t>condizione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essenziale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cambiare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color w:val="000000"/>
          <w:sz w:val="24"/>
          <w:szCs w:val="24"/>
        </w:rPr>
        <w:t>profilo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settore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Il </w:t>
      </w:r>
      <w:proofErr w:type="spellStart"/>
      <w:r>
        <w:rPr>
          <w:rFonts w:eastAsia="Times New Roman"/>
          <w:color w:val="000000"/>
          <w:sz w:val="24"/>
          <w:szCs w:val="24"/>
        </w:rPr>
        <w:t>coordinamento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informazioni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sull’attività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estrattiva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è utile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mettere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sistema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color w:val="000000"/>
          <w:sz w:val="24"/>
          <w:szCs w:val="24"/>
        </w:rPr>
        <w:t>lavoro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Forze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dell’ordine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garantire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imprese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oneste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14FAF495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 un </w:t>
      </w:r>
      <w:proofErr w:type="spellStart"/>
      <w:r>
        <w:rPr>
          <w:rFonts w:eastAsia="Times New Roman"/>
          <w:color w:val="000000"/>
          <w:sz w:val="24"/>
          <w:szCs w:val="24"/>
        </w:rPr>
        <w:t>contesto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riguarda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una </w:t>
      </w:r>
      <w:proofErr w:type="spellStart"/>
      <w:r>
        <w:rPr>
          <w:rFonts w:eastAsia="Times New Roman"/>
          <w:color w:val="000000"/>
          <w:sz w:val="24"/>
          <w:szCs w:val="24"/>
        </w:rPr>
        <w:t>risorsa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limitata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non </w:t>
      </w:r>
      <w:proofErr w:type="spellStart"/>
      <w:r>
        <w:rPr>
          <w:rFonts w:eastAsia="Times New Roman"/>
          <w:color w:val="000000"/>
          <w:sz w:val="24"/>
          <w:szCs w:val="24"/>
        </w:rPr>
        <w:t>rinnovabile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è </w:t>
      </w:r>
      <w:proofErr w:type="spellStart"/>
      <w:r>
        <w:rPr>
          <w:rFonts w:eastAsia="Times New Roman"/>
          <w:color w:val="000000"/>
          <w:sz w:val="24"/>
          <w:szCs w:val="24"/>
        </w:rPr>
        <w:t>assolutamente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indispensabile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aumentare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sanzioni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caso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illecito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ancora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esigue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e </w:t>
      </w:r>
      <w:proofErr w:type="spellStart"/>
      <w:r>
        <w:rPr>
          <w:rFonts w:eastAsia="Times New Roman"/>
          <w:color w:val="000000"/>
          <w:sz w:val="24"/>
          <w:szCs w:val="24"/>
        </w:rPr>
        <w:t>prevedere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tutte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forme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potenziali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illegalità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in modo da </w:t>
      </w:r>
      <w:proofErr w:type="spellStart"/>
      <w:r>
        <w:rPr>
          <w:rFonts w:eastAsia="Times New Roman"/>
          <w:color w:val="000000"/>
          <w:sz w:val="24"/>
          <w:szCs w:val="24"/>
        </w:rPr>
        <w:t>scoraggiare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partenza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/>
          <w:color w:val="000000"/>
          <w:sz w:val="24"/>
          <w:szCs w:val="24"/>
        </w:rPr>
        <w:t>criminalità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organizzata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non.</w:t>
      </w:r>
    </w:p>
    <w:p w14:paraId="7A85C0E2" w14:textId="77777777" w:rsidR="007C5509" w:rsidRDefault="007C5509">
      <w:pPr>
        <w:jc w:val="both"/>
        <w:rPr>
          <w:rFonts w:eastAsia="Times New Roman"/>
          <w:color w:val="000000"/>
          <w:sz w:val="24"/>
          <w:szCs w:val="24"/>
        </w:rPr>
      </w:pPr>
    </w:p>
    <w:p w14:paraId="784591C0" w14:textId="77777777" w:rsidR="007C5509" w:rsidRDefault="009D35E3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2)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Minori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prelievi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PRAE</w:t>
      </w:r>
    </w:p>
    <w:p w14:paraId="1FF56DB6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Ancora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troppi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Piani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contengono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previsioni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enor</w:t>
      </w:r>
      <w:r>
        <w:rPr>
          <w:rFonts w:eastAsia="Times New Roman"/>
          <w:color w:val="000000"/>
          <w:sz w:val="24"/>
          <w:szCs w:val="24"/>
        </w:rPr>
        <w:t>mi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nuovi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prelievi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invece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regolarne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una </w:t>
      </w:r>
      <w:proofErr w:type="spellStart"/>
      <w:r>
        <w:rPr>
          <w:rFonts w:eastAsia="Times New Roman"/>
          <w:color w:val="000000"/>
          <w:sz w:val="24"/>
          <w:szCs w:val="24"/>
        </w:rPr>
        <w:t>corretta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gestione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come </w:t>
      </w:r>
      <w:proofErr w:type="spellStart"/>
      <w:r>
        <w:rPr>
          <w:rFonts w:eastAsia="Times New Roman"/>
          <w:color w:val="000000"/>
          <w:sz w:val="24"/>
          <w:szCs w:val="24"/>
        </w:rPr>
        <w:t>avviene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Sicilia.</w:t>
      </w:r>
    </w:p>
    <w:p w14:paraId="257E9571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Questo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accade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perché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ditte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operatrici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settore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spingono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ottenere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autorizzazioni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indipendentemente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dal </w:t>
      </w:r>
      <w:proofErr w:type="spellStart"/>
      <w:r>
        <w:rPr>
          <w:rFonts w:eastAsia="Times New Roman"/>
          <w:color w:val="000000"/>
          <w:sz w:val="24"/>
          <w:szCs w:val="24"/>
        </w:rPr>
        <w:t>fabbisogno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immediato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mettendosi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eastAsia="Times New Roman"/>
          <w:color w:val="000000"/>
          <w:sz w:val="24"/>
          <w:szCs w:val="24"/>
        </w:rPr>
        <w:t>sicuro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rispetto</w:t>
      </w:r>
      <w:r>
        <w:rPr>
          <w:rFonts w:eastAsia="Times New Roman"/>
          <w:color w:val="000000"/>
          <w:sz w:val="24"/>
          <w:szCs w:val="24"/>
        </w:rPr>
        <w:t xml:space="preserve"> ai </w:t>
      </w:r>
      <w:proofErr w:type="spellStart"/>
      <w:r>
        <w:rPr>
          <w:rFonts w:eastAsia="Times New Roman"/>
          <w:color w:val="000000"/>
          <w:sz w:val="24"/>
          <w:szCs w:val="24"/>
        </w:rPr>
        <w:t>bisogni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futuri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ma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garantirsi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eastAsia="Times New Roman"/>
          <w:color w:val="000000"/>
          <w:sz w:val="24"/>
          <w:szCs w:val="24"/>
        </w:rPr>
        <w:t>adeguato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credito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bancario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0437DDFB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E’ </w:t>
      </w:r>
      <w:proofErr w:type="spellStart"/>
      <w:r>
        <w:rPr>
          <w:rFonts w:eastAsia="Times New Roman"/>
          <w:color w:val="000000"/>
          <w:sz w:val="24"/>
          <w:szCs w:val="24"/>
        </w:rPr>
        <w:t>fondamentale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ripensare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/>
          <w:color w:val="000000"/>
          <w:sz w:val="24"/>
          <w:szCs w:val="24"/>
        </w:rPr>
        <w:t>pianificazione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settore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base alle </w:t>
      </w:r>
      <w:proofErr w:type="spellStart"/>
      <w:r>
        <w:rPr>
          <w:rFonts w:eastAsia="Times New Roman"/>
          <w:color w:val="000000"/>
          <w:sz w:val="24"/>
          <w:szCs w:val="24"/>
        </w:rPr>
        <w:t>vere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necessità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mercato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in </w:t>
      </w:r>
      <w:proofErr w:type="spellStart"/>
      <w:r>
        <w:rPr>
          <w:rFonts w:eastAsia="Times New Roman"/>
          <w:color w:val="000000"/>
          <w:sz w:val="24"/>
          <w:szCs w:val="24"/>
        </w:rPr>
        <w:t>particolare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quello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locale.</w:t>
      </w:r>
    </w:p>
    <w:p w14:paraId="6E4B960F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Bisogna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poi </w:t>
      </w:r>
      <w:proofErr w:type="spellStart"/>
      <w:r>
        <w:rPr>
          <w:rFonts w:eastAsia="Times New Roman"/>
          <w:color w:val="000000"/>
          <w:sz w:val="24"/>
          <w:szCs w:val="24"/>
        </w:rPr>
        <w:t>stabilire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regole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uniformi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le </w:t>
      </w:r>
      <w:proofErr w:type="spellStart"/>
      <w:r>
        <w:rPr>
          <w:rFonts w:eastAsia="Times New Roman"/>
          <w:color w:val="000000"/>
          <w:sz w:val="24"/>
          <w:szCs w:val="24"/>
        </w:rPr>
        <w:t>aree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r>
        <w:rPr>
          <w:rFonts w:eastAsia="Times New Roman"/>
          <w:color w:val="000000"/>
          <w:sz w:val="24"/>
          <w:szCs w:val="24"/>
        </w:rPr>
        <w:t xml:space="preserve">cui </w:t>
      </w:r>
      <w:proofErr w:type="spellStart"/>
      <w:r>
        <w:rPr>
          <w:rFonts w:eastAsia="Times New Roman"/>
          <w:color w:val="000000"/>
          <w:sz w:val="24"/>
          <w:szCs w:val="24"/>
        </w:rPr>
        <w:t>l’attività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cava è </w:t>
      </w:r>
      <w:proofErr w:type="spellStart"/>
      <w:r>
        <w:rPr>
          <w:rFonts w:eastAsia="Times New Roman"/>
          <w:color w:val="000000"/>
          <w:sz w:val="24"/>
          <w:szCs w:val="24"/>
        </w:rPr>
        <w:t>vietata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Come </w:t>
      </w:r>
      <w:proofErr w:type="spellStart"/>
      <w:r>
        <w:rPr>
          <w:rFonts w:eastAsia="Times New Roman"/>
          <w:color w:val="000000"/>
          <w:sz w:val="24"/>
          <w:szCs w:val="24"/>
        </w:rPr>
        <w:t>aree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protette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boschi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vicine a </w:t>
      </w:r>
      <w:proofErr w:type="spellStart"/>
      <w:r>
        <w:rPr>
          <w:rFonts w:eastAsia="Times New Roman"/>
          <w:color w:val="000000"/>
          <w:sz w:val="24"/>
          <w:szCs w:val="24"/>
        </w:rPr>
        <w:t>corsi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d’acqua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aree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sottoposte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vincolo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idrogeologico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paesaggistico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64C8C046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Non è </w:t>
      </w:r>
      <w:proofErr w:type="spellStart"/>
      <w:r>
        <w:rPr>
          <w:rFonts w:eastAsia="Times New Roman"/>
          <w:color w:val="000000"/>
          <w:sz w:val="24"/>
          <w:szCs w:val="24"/>
        </w:rPr>
        <w:t>sufficiente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rimandare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color w:val="000000"/>
          <w:sz w:val="24"/>
          <w:szCs w:val="24"/>
        </w:rPr>
        <w:t>divieto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estrazione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tutte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aree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non </w:t>
      </w:r>
      <w:proofErr w:type="spellStart"/>
      <w:r>
        <w:rPr>
          <w:rFonts w:eastAsia="Times New Roman"/>
          <w:color w:val="000000"/>
          <w:sz w:val="24"/>
          <w:szCs w:val="24"/>
        </w:rPr>
        <w:t>incluse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Piano Cave, </w:t>
      </w:r>
      <w:proofErr w:type="spellStart"/>
      <w:r>
        <w:rPr>
          <w:rFonts w:eastAsia="Times New Roman"/>
          <w:color w:val="000000"/>
          <w:sz w:val="24"/>
          <w:szCs w:val="24"/>
        </w:rPr>
        <w:t>significa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lasci</w:t>
      </w:r>
      <w:r>
        <w:rPr>
          <w:rFonts w:eastAsia="Times New Roman"/>
          <w:color w:val="000000"/>
          <w:sz w:val="24"/>
          <w:szCs w:val="24"/>
        </w:rPr>
        <w:t>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mano a </w:t>
      </w:r>
      <w:proofErr w:type="spellStart"/>
      <w:r>
        <w:rPr>
          <w:rFonts w:eastAsia="Times New Roman"/>
          <w:color w:val="000000"/>
          <w:sz w:val="24"/>
          <w:szCs w:val="24"/>
        </w:rPr>
        <w:t>potenziali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interessi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futuri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intere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porzioni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  <w:szCs w:val="24"/>
        </w:rPr>
        <w:t>territorio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già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rischio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devono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essere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tutelate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04851CF8" w14:textId="77777777" w:rsidR="007C5509" w:rsidRDefault="007C5509">
      <w:pPr>
        <w:jc w:val="both"/>
        <w:rPr>
          <w:rFonts w:eastAsia="Times New Roman"/>
          <w:color w:val="000000"/>
          <w:sz w:val="24"/>
          <w:szCs w:val="24"/>
        </w:rPr>
      </w:pPr>
    </w:p>
    <w:p w14:paraId="01B4F9EA" w14:textId="77777777" w:rsidR="007C5509" w:rsidRDefault="009D35E3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3)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Spingere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riciclo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creare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più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posti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lavoro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chiudere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le cave</w:t>
      </w:r>
    </w:p>
    <w:p w14:paraId="16E432BE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Sicilia le </w:t>
      </w:r>
      <w:proofErr w:type="spellStart"/>
      <w:r>
        <w:rPr>
          <w:rFonts w:eastAsia="Times New Roman"/>
          <w:color w:val="000000"/>
          <w:sz w:val="24"/>
          <w:szCs w:val="24"/>
        </w:rPr>
        <w:t>opportunità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generate dal </w:t>
      </w:r>
      <w:proofErr w:type="spellStart"/>
      <w:r>
        <w:rPr>
          <w:rFonts w:eastAsia="Times New Roman"/>
          <w:color w:val="000000"/>
          <w:sz w:val="24"/>
          <w:szCs w:val="24"/>
        </w:rPr>
        <w:t>recupe</w:t>
      </w:r>
      <w:r>
        <w:rPr>
          <w:rFonts w:eastAsia="Times New Roman"/>
          <w:color w:val="000000"/>
          <w:sz w:val="24"/>
          <w:szCs w:val="24"/>
        </w:rPr>
        <w:t>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riciclo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materiali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eastAsia="Times New Roman"/>
          <w:color w:val="000000"/>
          <w:sz w:val="24"/>
          <w:szCs w:val="24"/>
        </w:rPr>
        <w:t>demolizione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enormi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Si </w:t>
      </w:r>
      <w:proofErr w:type="spellStart"/>
      <w:r>
        <w:rPr>
          <w:rFonts w:eastAsia="Times New Roman"/>
          <w:color w:val="000000"/>
          <w:sz w:val="24"/>
          <w:szCs w:val="24"/>
        </w:rPr>
        <w:t>deve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rendere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trasparente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tracciabile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color w:val="000000"/>
          <w:sz w:val="24"/>
          <w:szCs w:val="24"/>
        </w:rPr>
        <w:t>percorso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rifiuti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eastAsia="Times New Roman"/>
          <w:color w:val="000000"/>
          <w:sz w:val="24"/>
          <w:szCs w:val="24"/>
        </w:rPr>
        <w:t>demolizione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ricostruzione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coinvolgendo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tutta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/>
          <w:color w:val="000000"/>
          <w:sz w:val="24"/>
          <w:szCs w:val="24"/>
        </w:rPr>
        <w:t>filiera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edilizia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spingendo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eastAsia="Times New Roman"/>
          <w:color w:val="000000"/>
          <w:sz w:val="24"/>
          <w:szCs w:val="24"/>
        </w:rPr>
        <w:t>creazione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consorzi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4B7B675C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Bisognerà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investire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form</w:t>
      </w:r>
      <w:r>
        <w:rPr>
          <w:rFonts w:eastAsia="Times New Roman"/>
          <w:color w:val="000000"/>
          <w:sz w:val="24"/>
          <w:szCs w:val="24"/>
        </w:rPr>
        <w:t>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stazioni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appaltanti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di </w:t>
      </w:r>
      <w:proofErr w:type="spellStart"/>
      <w:r>
        <w:rPr>
          <w:rFonts w:eastAsia="Times New Roman"/>
          <w:color w:val="000000"/>
          <w:sz w:val="24"/>
          <w:szCs w:val="24"/>
        </w:rPr>
        <w:t>tecnici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/>
          <w:color w:val="000000"/>
          <w:sz w:val="24"/>
          <w:szCs w:val="24"/>
        </w:rPr>
        <w:t>lavoratori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eastAsia="Times New Roman"/>
          <w:color w:val="000000"/>
          <w:sz w:val="24"/>
          <w:szCs w:val="24"/>
        </w:rPr>
        <w:t>cambiamento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nell’approccio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progettuale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sarà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decisivo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ridurre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il </w:t>
      </w:r>
      <w:proofErr w:type="spellStart"/>
      <w:r>
        <w:rPr>
          <w:rFonts w:eastAsia="Times New Roman"/>
          <w:color w:val="000000"/>
          <w:sz w:val="24"/>
          <w:szCs w:val="24"/>
        </w:rPr>
        <w:t>prelievo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 cava e </w:t>
      </w:r>
      <w:proofErr w:type="spellStart"/>
      <w:r>
        <w:rPr>
          <w:rFonts w:eastAsia="Times New Roman"/>
          <w:color w:val="000000"/>
          <w:sz w:val="24"/>
          <w:szCs w:val="24"/>
        </w:rPr>
        <w:t>l’utilizzo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discariche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materiali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scavati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con </w:t>
      </w:r>
      <w:proofErr w:type="spellStart"/>
      <w:r>
        <w:rPr>
          <w:rFonts w:eastAsia="Times New Roman"/>
          <w:color w:val="000000"/>
          <w:sz w:val="24"/>
          <w:szCs w:val="24"/>
        </w:rPr>
        <w:t>enormi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impatti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nei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territori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unitamente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  <w:szCs w:val="24"/>
        </w:rPr>
        <w:t>quel</w:t>
      </w:r>
      <w:r>
        <w:rPr>
          <w:rFonts w:eastAsia="Times New Roman"/>
          <w:color w:val="000000"/>
          <w:sz w:val="24"/>
          <w:szCs w:val="24"/>
        </w:rPr>
        <w:t>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il </w:t>
      </w:r>
      <w:proofErr w:type="spellStart"/>
      <w:r>
        <w:rPr>
          <w:rFonts w:eastAsia="Times New Roman"/>
          <w:color w:val="000000"/>
          <w:sz w:val="24"/>
          <w:szCs w:val="24"/>
        </w:rPr>
        <w:t>trasporto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La </w:t>
      </w:r>
      <w:proofErr w:type="spellStart"/>
      <w:r>
        <w:rPr>
          <w:rFonts w:eastAsia="Times New Roman"/>
          <w:color w:val="000000"/>
          <w:sz w:val="24"/>
          <w:szCs w:val="24"/>
        </w:rPr>
        <w:t>sfida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è </w:t>
      </w:r>
      <w:proofErr w:type="spellStart"/>
      <w:r>
        <w:rPr>
          <w:rFonts w:eastAsia="Times New Roman"/>
          <w:color w:val="000000"/>
          <w:sz w:val="24"/>
          <w:szCs w:val="24"/>
        </w:rPr>
        <w:t>soprattutto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culturale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perché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non </w:t>
      </w:r>
      <w:proofErr w:type="spellStart"/>
      <w:r>
        <w:rPr>
          <w:rFonts w:eastAsia="Times New Roman"/>
          <w:color w:val="000000"/>
          <w:sz w:val="24"/>
          <w:szCs w:val="24"/>
        </w:rPr>
        <w:t>esistono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più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ragioni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tecniche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o normative ad </w:t>
      </w:r>
      <w:proofErr w:type="spellStart"/>
      <w:r>
        <w:rPr>
          <w:rFonts w:eastAsia="Times New Roman"/>
          <w:color w:val="000000"/>
          <w:sz w:val="24"/>
          <w:szCs w:val="24"/>
        </w:rPr>
        <w:t>impedire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l’utilizzo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materiali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provenienti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dal </w:t>
      </w:r>
      <w:proofErr w:type="spellStart"/>
      <w:r>
        <w:rPr>
          <w:rFonts w:eastAsia="Times New Roman"/>
          <w:color w:val="000000"/>
          <w:sz w:val="24"/>
          <w:szCs w:val="24"/>
        </w:rPr>
        <w:t>riciclo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58391813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Fondamentale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CAM (</w:t>
      </w:r>
      <w:proofErr w:type="spellStart"/>
      <w:r>
        <w:rPr>
          <w:rFonts w:eastAsia="Times New Roman"/>
          <w:color w:val="000000"/>
          <w:sz w:val="24"/>
          <w:szCs w:val="24"/>
        </w:rPr>
        <w:t>Criteri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Ambientali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Minimi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eastAsia="Times New Roman"/>
          <w:color w:val="000000"/>
          <w:sz w:val="24"/>
          <w:szCs w:val="24"/>
        </w:rPr>
        <w:t>siano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applicati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tutti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capitolati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gara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devono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essere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rivisti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per fare in modo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sempre </w:t>
      </w:r>
      <w:proofErr w:type="spellStart"/>
      <w:r>
        <w:rPr>
          <w:rFonts w:eastAsia="Times New Roman"/>
          <w:color w:val="000000"/>
          <w:sz w:val="24"/>
          <w:szCs w:val="24"/>
        </w:rPr>
        <w:t>presente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eastAsia="Times New Roman"/>
          <w:color w:val="000000"/>
          <w:sz w:val="24"/>
          <w:szCs w:val="24"/>
        </w:rPr>
        <w:t>approccio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eastAsia="Times New Roman"/>
          <w:color w:val="000000"/>
          <w:sz w:val="24"/>
          <w:szCs w:val="24"/>
        </w:rPr>
        <w:t>prestazionale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” rispetto ai </w:t>
      </w:r>
      <w:proofErr w:type="spellStart"/>
      <w:r>
        <w:rPr>
          <w:rFonts w:eastAsia="Times New Roman"/>
          <w:color w:val="000000"/>
          <w:sz w:val="24"/>
          <w:szCs w:val="24"/>
        </w:rPr>
        <w:t>materiali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non </w:t>
      </w:r>
      <w:proofErr w:type="spellStart"/>
      <w:r>
        <w:rPr>
          <w:rFonts w:eastAsia="Times New Roman"/>
          <w:color w:val="000000"/>
          <w:sz w:val="24"/>
          <w:szCs w:val="24"/>
        </w:rPr>
        <w:t>escluda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quelli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provenienti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dal </w:t>
      </w:r>
      <w:proofErr w:type="spellStart"/>
      <w:r>
        <w:rPr>
          <w:rFonts w:eastAsia="Times New Roman"/>
          <w:color w:val="000000"/>
          <w:sz w:val="24"/>
          <w:szCs w:val="24"/>
        </w:rPr>
        <w:t>riciclo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e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fissi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percentuali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crescenti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 xml:space="preserve">di </w:t>
      </w:r>
      <w:proofErr w:type="spellStart"/>
      <w:r>
        <w:rPr>
          <w:rFonts w:eastAsia="Times New Roman"/>
          <w:color w:val="000000"/>
          <w:sz w:val="24"/>
          <w:szCs w:val="24"/>
        </w:rPr>
        <w:t>utilizzo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14:paraId="215D8112" w14:textId="77777777" w:rsidR="007C5509" w:rsidRDefault="007C5509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1B2D6629" w14:textId="77777777" w:rsidR="007C5509" w:rsidRDefault="009D35E3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4)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Controllo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dei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prog</w:t>
      </w:r>
      <w:r>
        <w:rPr>
          <w:rFonts w:eastAsia="Times New Roman"/>
          <w:b/>
          <w:bCs/>
          <w:color w:val="000000"/>
          <w:sz w:val="24"/>
          <w:szCs w:val="24"/>
        </w:rPr>
        <w:t>etti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ripristino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contestuale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37B4E579" w14:textId="77777777" w:rsidR="007C5509" w:rsidRDefault="009D35E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E’ </w:t>
      </w:r>
      <w:proofErr w:type="spellStart"/>
      <w:r>
        <w:rPr>
          <w:rFonts w:eastAsia="Times New Roman"/>
          <w:color w:val="000000"/>
          <w:sz w:val="24"/>
          <w:szCs w:val="24"/>
        </w:rPr>
        <w:t>importante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verificare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quanto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richiesto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dalla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legge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regionale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sul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ripristino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contestuale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venga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svolto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piena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rispondenza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ai </w:t>
      </w:r>
      <w:proofErr w:type="spellStart"/>
      <w:r>
        <w:rPr>
          <w:rFonts w:eastAsia="Times New Roman"/>
          <w:color w:val="000000"/>
          <w:sz w:val="24"/>
          <w:szCs w:val="24"/>
        </w:rPr>
        <w:t>piani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coltivazione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approvati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ovviamente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</w:rPr>
        <w:t>funzione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della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tipologia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cave. </w:t>
      </w:r>
      <w:proofErr w:type="spellStart"/>
      <w:r>
        <w:rPr>
          <w:rFonts w:eastAsia="Times New Roman"/>
          <w:color w:val="000000"/>
          <w:sz w:val="24"/>
          <w:szCs w:val="24"/>
        </w:rPr>
        <w:t>Anche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perch</w:t>
      </w:r>
      <w:r>
        <w:rPr>
          <w:rFonts w:eastAsia="Times New Roman"/>
          <w:color w:val="000000"/>
          <w:sz w:val="24"/>
          <w:szCs w:val="24"/>
        </w:rPr>
        <w:t>é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non </w:t>
      </w:r>
      <w:proofErr w:type="spellStart"/>
      <w:r>
        <w:rPr>
          <w:rFonts w:eastAsia="Times New Roman"/>
          <w:color w:val="000000"/>
          <w:sz w:val="24"/>
          <w:szCs w:val="24"/>
        </w:rPr>
        <w:t>raramente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avviene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eastAsia="Times New Roman"/>
          <w:color w:val="000000"/>
          <w:sz w:val="24"/>
          <w:szCs w:val="24"/>
        </w:rPr>
        <w:t>ditte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al </w:t>
      </w:r>
      <w:proofErr w:type="spellStart"/>
      <w:r>
        <w:rPr>
          <w:rFonts w:eastAsia="Times New Roman"/>
          <w:color w:val="000000"/>
          <w:sz w:val="24"/>
          <w:szCs w:val="24"/>
        </w:rPr>
        <w:t>momento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000000"/>
          <w:sz w:val="24"/>
          <w:szCs w:val="24"/>
        </w:rPr>
        <w:t>svolgere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ripristini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e di </w:t>
      </w:r>
      <w:proofErr w:type="spellStart"/>
      <w:r>
        <w:rPr>
          <w:rFonts w:eastAsia="Times New Roman"/>
          <w:color w:val="000000"/>
          <w:sz w:val="24"/>
          <w:szCs w:val="24"/>
        </w:rPr>
        <w:t>affrontare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relativi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costi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falliscono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inevitabilmente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allungando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tempi di </w:t>
      </w:r>
      <w:proofErr w:type="spellStart"/>
      <w:r>
        <w:rPr>
          <w:rFonts w:eastAsia="Times New Roman"/>
          <w:color w:val="000000"/>
          <w:sz w:val="24"/>
          <w:szCs w:val="24"/>
        </w:rPr>
        <w:t>ripristino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sectPr w:rsidR="007C5509">
      <w:endnotePr>
        <w:numFmt w:val="decimal"/>
      </w:endnotePr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09"/>
    <w:rsid w:val="007C5509"/>
    <w:rsid w:val="009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008"/>
  <w15:docId w15:val="{40F141D7-5690-4CFC-8791-EF2EE1B7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olo2">
    <w:name w:val="heading 2"/>
    <w:basedOn w:val="Titolo1"/>
    <w:next w:val="Normale"/>
    <w:qFormat/>
    <w:pPr>
      <w:outlineLvl w:val="1"/>
    </w:pPr>
    <w:rPr>
      <w:sz w:val="32"/>
      <w:szCs w:val="32"/>
    </w:rPr>
  </w:style>
  <w:style w:type="paragraph" w:styleId="Titolo3">
    <w:name w:val="heading 3"/>
    <w:basedOn w:val="Titolo2"/>
    <w:next w:val="Normale"/>
    <w:qFormat/>
    <w:pPr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chart" Target="charts/chart1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v>Cave autorizzate (attive e non produttive)</c:v>
          </c:tx>
          <c:invertIfNegative val="1"/>
          <c:val>
            <c:numLit>
              <c:formatCode>General</c:formatCode>
              <c:ptCount val="1"/>
              <c:pt idx="0">
                <c:v>442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  <c:ext xmlns:c16="http://schemas.microsoft.com/office/drawing/2014/chart" uri="{C3380CC4-5D6E-409C-BE32-E72D297353CC}">
              <c16:uniqueId val="{00000000-BE50-4609-91FF-6F1F146E129A}"/>
            </c:ext>
          </c:extLst>
        </c:ser>
        <c:ser>
          <c:idx val="1"/>
          <c:order val="1"/>
          <c:tx>
            <c:v>Cave dismesse</c:v>
          </c:tx>
          <c:invertIfNegative val="1"/>
          <c:val>
            <c:numLit>
              <c:formatCode>General</c:formatCode>
              <c:ptCount val="1"/>
              <c:pt idx="0">
                <c:v>245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  <c:ext xmlns:c16="http://schemas.microsoft.com/office/drawing/2014/chart" uri="{C3380CC4-5D6E-409C-BE32-E72D297353CC}">
              <c16:uniqueId val="{00000001-BE50-4609-91FF-6F1F146E1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"/>
        <c:axId val="11"/>
      </c:barChart>
      <c:catAx>
        <c:axId val="10"/>
        <c:scaling>
          <c:orientation val="minMax"/>
        </c:scaling>
        <c:delete val="1"/>
        <c:axPos val="b"/>
        <c:numFmt formatCode="General" sourceLinked="1"/>
        <c:majorTickMark val="cross"/>
        <c:minorTickMark val="none"/>
        <c:tickLblPos val="none"/>
        <c:crossAx val="11"/>
        <c:crosses val="autoZero"/>
        <c:auto val="1"/>
        <c:lblAlgn val="ctr"/>
        <c:lblOffset val="100"/>
        <c:noMultiLvlLbl val="1"/>
      </c:catAx>
      <c:valAx>
        <c:axId val="11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3500000000000002E-2"/>
          <c:y val="0.78174999999999994"/>
          <c:w val="0.93474999999999997"/>
          <c:h val="0.21775"/>
        </c:manualLayout>
      </c:layout>
      <c:overlay val="0"/>
      <c:spPr>
        <a:ln w="9525">
          <a:noFill/>
        </a:ln>
      </c:spPr>
      <c:txPr>
        <a:bodyPr anchor="t"/>
        <a:lstStyle/>
        <a:p>
          <a:pPr>
            <a:defRPr lang="en-gb" sz="1000" b="0" i="0" u="none" strike="noStrike" kern="100">
              <a:solidFill>
                <a:srgbClr val="000000"/>
              </a:solidFill>
              <a:latin typeface="Montserrat" charset="0"/>
            </a:defRPr>
          </a:pPr>
          <a:endParaRPr lang="it-IT"/>
        </a:p>
      </c:txPr>
    </c:legend>
    <c:plotVisOnly val="1"/>
    <c:dispBlanksAs val="gap"/>
    <c:showDLblsOverMax val="1"/>
  </c:chart>
  <c:txPr>
    <a:bodyPr rot="0" anchor="ctr" anchorCtr="1"/>
    <a:lstStyle/>
    <a:p>
      <a:pPr>
        <a:defRPr lang="en-gb" sz="1410" b="0" i="0" u="none" strike="noStrike" kern="100">
          <a:solidFill>
            <a:srgbClr val="000000"/>
          </a:solidFill>
          <a:latin typeface="Arial" charset="0"/>
        </a:defRPr>
      </a:pPr>
      <a:endParaRPr lang="it-IT"/>
    </a:p>
  </c:txPr>
  <c:extLst>
    <c:ext xmlns:sm="smo" uri="smo">
      <sm:colorScheme xmlns:sm="smo" id="1620992464" val="7"/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c:style val="2"/>
  <c:chart>
    <c:autoTitleDeleted val="1"/>
    <c:plotArea>
      <c:layout>
        <c:manualLayout>
          <c:xMode val="edge"/>
          <c:yMode val="edge"/>
          <c:x val="3.7999999999999999E-2"/>
          <c:y val="2.1499999999999998E-2"/>
          <c:w val="0.87875000000000003"/>
          <c:h val="0.60575000000000001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5.7500000000000002E-2"/>
                  <c:y val="2.6800000000000001E-2"/>
                </c:manualLayout>
              </c:layout>
              <c:numFmt formatCode="0%" sourceLinked="0"/>
              <c:spPr>
                <a:noFill/>
                <a:ln w="9525">
                  <a:noFill/>
                </a:ln>
              </c:spPr>
              <c:txPr>
                <a:bodyPr/>
                <a:lstStyle/>
                <a:p>
                  <a:pPr>
                    <a:defRPr lang="en-gb" sz="1000" b="0" i="0" u="none" strike="noStrike" kern="100">
                      <a:solidFill>
                        <a:srgbClr val="000000"/>
                      </a:solidFill>
                      <a:latin typeface="Montserrat" charset="0"/>
                    </a:defRPr>
                  </a:pPr>
                  <a:endParaRPr lang="it-IT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96-4E6D-9A09-F69A0CD1AA72}"/>
                </c:ext>
              </c:extLst>
            </c:dLbl>
            <c:dLbl>
              <c:idx val="2"/>
              <c:layout>
                <c:manualLayout>
                  <c:x val="0.15640000000000001"/>
                  <c:y val="-4.8000000000000001E-2"/>
                </c:manualLayout>
              </c:layout>
              <c:tx>
                <c:rich>
                  <a:bodyPr/>
                  <a:lstStyle/>
                  <a:p>
                    <a:pPr>
                      <a:defRPr lang="en-gb" sz="1000" b="0" i="0" u="none" strike="noStrike" kern="100">
                        <a:solidFill>
                          <a:srgbClr val="000000"/>
                        </a:solidFill>
                        <a:latin typeface="Montserrat" charset="0"/>
                      </a:defRPr>
                    </a:pPr>
                    <a:r>
                      <a:rPr lang="en-US" sz="1000" b="0" i="0" u="none" strike="noStrike" kern="100">
                        <a:solidFill>
                          <a:srgbClr val="000000"/>
                        </a:solidFill>
                        <a:latin typeface="Montserrat" charset="0"/>
                      </a:rPr>
                      <a:t>47.1%</a:t>
                    </a:r>
                  </a:p>
                </c:rich>
              </c:tx>
              <c:numFmt formatCode="0%" sourceLinked="0"/>
              <c:spPr>
                <a:noFill/>
                <a:ln w="9525">
                  <a:noFill/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296-4E6D-9A09-F69A0CD1AA72}"/>
                </c:ext>
              </c:extLst>
            </c:dLbl>
            <c:numFmt formatCode="0.0%" sourceLinked="0"/>
            <c:spPr>
              <a:noFill/>
              <a:ln w="9525">
                <a:noFill/>
              </a:ln>
            </c:spPr>
            <c:txPr>
              <a:bodyPr/>
              <a:lstStyle/>
              <a:p>
                <a:pPr>
                  <a:defRPr lang="en-gb" sz="1000" b="0" i="0" u="none" strike="noStrike" kern="100">
                    <a:solidFill>
                      <a:srgbClr val="000000"/>
                    </a:solidFill>
                    <a:latin typeface="Montserrat" charset="0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Sabbia e Ghiaia</c:v>
              </c:pt>
              <c:pt idx="1">
                <c:v>Pietre Ornamentali</c:v>
              </c:pt>
              <c:pt idx="2">
                <c:v>Calcare e Gesso</c:v>
              </c:pt>
              <c:pt idx="3">
                <c:v>Argilla</c:v>
              </c:pt>
              <c:pt idx="4">
                <c:v>Basalti/tufi/rocce vulcaniche</c:v>
              </c:pt>
            </c:strLit>
          </c:cat>
          <c:val>
            <c:numLit>
              <c:formatCode>General</c:formatCode>
              <c:ptCount val="5"/>
              <c:pt idx="0">
                <c:v>43</c:v>
              </c:pt>
              <c:pt idx="1">
                <c:v>81</c:v>
              </c:pt>
              <c:pt idx="2">
                <c:v>198</c:v>
              </c:pt>
              <c:pt idx="3">
                <c:v>27</c:v>
              </c:pt>
              <c:pt idx="4">
                <c:v>73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  <c:ext xmlns:c16="http://schemas.microsoft.com/office/drawing/2014/chart" uri="{C3380CC4-5D6E-409C-BE32-E72D297353CC}">
              <c16:uniqueId val="{00000002-E296-4E6D-9A09-F69A0CD1A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0"/>
          <c:y val="0.75424999999999998"/>
          <c:h val="0.24399999999999999"/>
        </c:manualLayout>
      </c:layout>
      <c:overlay val="0"/>
      <c:spPr>
        <a:ln w="9525">
          <a:noFill/>
        </a:ln>
      </c:spPr>
      <c:txPr>
        <a:bodyPr numCol="2" anchor="t"/>
        <a:lstStyle/>
        <a:p>
          <a:pPr>
            <a:defRPr lang="en-gb" sz="1020" b="0" i="0" u="none" strike="noStrike" kern="100">
              <a:solidFill>
                <a:srgbClr val="000000"/>
              </a:solidFill>
              <a:latin typeface="Montserrat" charset="0"/>
            </a:defRPr>
          </a:pPr>
          <a:endParaRPr lang="it-IT"/>
        </a:p>
      </c:txPr>
    </c:legend>
    <c:plotVisOnly val="1"/>
    <c:dispBlanksAs val="gap"/>
    <c:showDLblsOverMax val="1"/>
  </c:chart>
  <c:txPr>
    <a:bodyPr rot="0" anchor="ctr" anchorCtr="1"/>
    <a:lstStyle/>
    <a:p>
      <a:pPr>
        <a:defRPr lang="en-gb" sz="1420" b="0" i="0" u="none" strike="noStrike" kern="100">
          <a:solidFill>
            <a:srgbClr val="000000"/>
          </a:solidFill>
          <a:latin typeface="Arial" charset="0"/>
        </a:defRPr>
      </a:pPr>
      <a:endParaRPr lang="it-IT"/>
    </a:p>
  </c:txPr>
  <c:extLst>
    <c:ext xmlns:sm="smo" uri="smo">
      <sm:colorScheme xmlns:sm="smo" id="1620992464" val="7"/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c:style val="2"/>
  <c:chart>
    <c:autoTitleDeleted val="1"/>
    <c:plotArea>
      <c:layout>
        <c:manualLayout>
          <c:xMode val="edge"/>
          <c:yMode val="edge"/>
          <c:x val="8.5250000000000006E-2"/>
          <c:y val="8.0250000000000002E-2"/>
          <c:w val="0.8175"/>
          <c:h val="0.61150000000000004"/>
        </c:manualLayout>
      </c:layout>
      <c:pieChart>
        <c:varyColors val="1"/>
        <c:ser>
          <c:idx val="0"/>
          <c:order val="0"/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1-2DF1-495F-AD8A-129B221ABAB5}"/>
              </c:ext>
            </c:extLst>
          </c:dPt>
          <c:dLbls>
            <c:dLbl>
              <c:idx val="0"/>
              <c:layout>
                <c:manualLayout>
                  <c:x val="2.5899999999999999E-2"/>
                  <c:y val="8.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F1-495F-AD8A-129B221ABAB5}"/>
                </c:ext>
              </c:extLst>
            </c:dLbl>
            <c:dLbl>
              <c:idx val="1"/>
              <c:layout>
                <c:manualLayout>
                  <c:x val="1.6000000000000001E-3"/>
                  <c:y val="1.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F1-495F-AD8A-129B221ABAB5}"/>
                </c:ext>
              </c:extLst>
            </c:dLbl>
            <c:dLbl>
              <c:idx val="2"/>
              <c:layout>
                <c:manualLayout>
                  <c:x val="6.6799999999999998E-2"/>
                  <c:y val="-2.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F1-495F-AD8A-129B221ABAB5}"/>
                </c:ext>
              </c:extLst>
            </c:dLbl>
            <c:numFmt formatCode="0%" sourceLinked="0"/>
            <c:spPr>
              <a:noFill/>
              <a:ln w="9525">
                <a:noFill/>
              </a:ln>
            </c:spPr>
            <c:txPr>
              <a:bodyPr/>
              <a:lstStyle/>
              <a:p>
                <a:pPr>
                  <a:defRPr lang="en-gb" sz="1000" b="0" i="0" u="none" strike="noStrike" kern="100">
                    <a:solidFill>
                      <a:srgbClr val="000000"/>
                    </a:solidFill>
                    <a:latin typeface="Montserrat" charset="0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Sabbia e Ghiaia</c:v>
              </c:pt>
              <c:pt idx="1">
                <c:v>Pietre Ornamentali</c:v>
              </c:pt>
              <c:pt idx="2">
                <c:v>Calcare</c:v>
              </c:pt>
              <c:pt idx="3">
                <c:v>Argilla</c:v>
              </c:pt>
              <c:pt idx="4">
                <c:v>Basalto/Tufo/Rocce vulcaniche</c:v>
              </c:pt>
            </c:strLit>
          </c:cat>
          <c:val>
            <c:numLit>
              <c:formatCode>General</c:formatCode>
              <c:ptCount val="5"/>
              <c:pt idx="0">
                <c:v>192000</c:v>
              </c:pt>
              <c:pt idx="1">
                <c:v>213500</c:v>
              </c:pt>
              <c:pt idx="2">
                <c:v>2142000</c:v>
              </c:pt>
              <c:pt idx="3">
                <c:v>181000</c:v>
              </c:pt>
              <c:pt idx="4">
                <c:v>675000</c:v>
              </c:pt>
            </c:numLit>
          </c:val>
          <c:extLst>
            <c:ext xmlns:sm="smo" uri="smo">
              <sm:meanLine>
                <c:spPr>
                  <a:ln w="9525">
                    <a:noFill/>
                  </a:ln>
                </c:spPr>
              </sm:meanLine>
              <sm:minMaxLine>
                <c:spPr>
                  <a:ln w="9525">
                    <a:noFill/>
                  </a:ln>
                </c:spPr>
              </sm:minMaxLine>
              <sm:stDevLine>
                <c:spPr>
                  <a:ln w="9525">
                    <a:noFill/>
                  </a:ln>
                </c:spPr>
              </sm:stDevLine>
              <sm:trendLine>
                <c:spPr>
                  <a:ln w="9525">
                    <a:noFill/>
                  </a:ln>
                </c:spPr>
              </sm:trendLine>
            </c:ext>
            <c:ext xmlns:c16="http://schemas.microsoft.com/office/drawing/2014/chart" uri="{C3380CC4-5D6E-409C-BE32-E72D297353CC}">
              <c16:uniqueId val="{00000004-2DF1-495F-AD8A-129B221AB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1.0500000000000001E-2"/>
          <c:y val="0.74"/>
          <c:w val="0.97799999999999998"/>
          <c:h val="0.26"/>
        </c:manualLayout>
      </c:layout>
      <c:overlay val="0"/>
      <c:spPr>
        <a:ln w="9525">
          <a:noFill/>
        </a:ln>
      </c:spPr>
      <c:txPr>
        <a:bodyPr numCol="2" anchor="t"/>
        <a:lstStyle/>
        <a:p>
          <a:pPr>
            <a:defRPr lang="en-gb" sz="900" b="0" i="0" u="none" strike="noStrike" kern="100">
              <a:solidFill>
                <a:srgbClr val="000000"/>
              </a:solidFill>
              <a:latin typeface="Montserrat" charset="0"/>
            </a:defRPr>
          </a:pPr>
          <a:endParaRPr lang="it-IT"/>
        </a:p>
      </c:txPr>
    </c:legend>
    <c:plotVisOnly val="1"/>
    <c:dispBlanksAs val="gap"/>
    <c:showDLblsOverMax val="1"/>
  </c:chart>
  <c:txPr>
    <a:bodyPr rot="0" anchor="ctr" anchorCtr="1"/>
    <a:lstStyle/>
    <a:p>
      <a:pPr>
        <a:defRPr lang="en-gb" sz="1405" b="0" i="0" u="none" strike="noStrike" kern="100">
          <a:solidFill>
            <a:srgbClr val="000000"/>
          </a:solidFill>
          <a:latin typeface="Arial" charset="0"/>
        </a:defRPr>
      </a:pPr>
      <a:endParaRPr lang="it-IT"/>
    </a:p>
  </c:txPr>
  <c:extLst>
    <c:ext xmlns:sm="smo" uri="smo">
      <sm:colorScheme xmlns:sm="smo" id="1620992464" val="7"/>
    </c:ext>
  </c:extLst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Zanna</dc:creator>
  <cp:keywords/>
  <dc:description/>
  <cp:lastModifiedBy>Gianfranco Zanna</cp:lastModifiedBy>
  <cp:revision>2</cp:revision>
  <dcterms:created xsi:type="dcterms:W3CDTF">2021-05-20T06:46:00Z</dcterms:created>
  <dcterms:modified xsi:type="dcterms:W3CDTF">2021-05-20T06:46:00Z</dcterms:modified>
</cp:coreProperties>
</file>